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7512"/>
        <w:gridCol w:w="250"/>
      </w:tblGrid>
      <w:tr w:rsidR="000724F3" w:rsidRPr="003B6D90" w14:paraId="6210EBB5" w14:textId="77777777" w:rsidTr="00B07E0C">
        <w:trPr>
          <w:trHeight w:val="300"/>
        </w:trPr>
        <w:tc>
          <w:tcPr>
            <w:tcW w:w="441" w:type="dxa"/>
            <w:shd w:val="clear" w:color="auto" w:fill="auto"/>
            <w:noWrap/>
            <w:vAlign w:val="bottom"/>
            <w:hideMark/>
          </w:tcPr>
          <w:p w14:paraId="69AF2E7A"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c>
          <w:tcPr>
            <w:tcW w:w="7512" w:type="dxa"/>
            <w:shd w:val="clear" w:color="auto" w:fill="auto"/>
            <w:noWrap/>
            <w:vAlign w:val="bottom"/>
            <w:hideMark/>
          </w:tcPr>
          <w:p w14:paraId="0096F7EF" w14:textId="77777777" w:rsidR="000724F3" w:rsidRPr="003B6D90" w:rsidRDefault="000724F3" w:rsidP="00B07E0C">
            <w:pPr>
              <w:spacing w:after="0" w:line="240" w:lineRule="auto"/>
              <w:jc w:val="center"/>
              <w:rPr>
                <w:rFonts w:ascii="Times New Roman" w:eastAsia="Times New Roman" w:hAnsi="Times New Roman" w:cs="Times New Roman"/>
                <w:b/>
                <w:bCs/>
                <w:color w:val="000000"/>
                <w:sz w:val="24"/>
                <w:szCs w:val="24"/>
                <w:lang w:val="sq-AL"/>
              </w:rPr>
            </w:pPr>
            <w:r>
              <w:rPr>
                <w:rFonts w:ascii="Times New Roman" w:eastAsia="Times New Roman" w:hAnsi="Times New Roman" w:cs="Times New Roman"/>
                <w:b/>
                <w:bCs/>
                <w:color w:val="000000"/>
                <w:sz w:val="24"/>
                <w:szCs w:val="24"/>
                <w:lang w:val="sq-AL"/>
              </w:rPr>
              <w:t xml:space="preserve">“Qendra Kosovare për Studime të Sigurisë – QKSS ” / NRB </w:t>
            </w:r>
            <w:r w:rsidRPr="00A70EAC">
              <w:rPr>
                <w:rFonts w:ascii="Times New Roman" w:eastAsia="Times New Roman" w:hAnsi="Times New Roman" w:cs="Times New Roman"/>
                <w:b/>
                <w:bCs/>
                <w:color w:val="000000"/>
                <w:sz w:val="24"/>
                <w:szCs w:val="24"/>
                <w:lang w:val="sq-AL"/>
              </w:rPr>
              <w:t>600278685</w:t>
            </w:r>
          </w:p>
        </w:tc>
        <w:tc>
          <w:tcPr>
            <w:tcW w:w="250" w:type="dxa"/>
            <w:shd w:val="clear" w:color="auto" w:fill="auto"/>
            <w:noWrap/>
            <w:vAlign w:val="bottom"/>
            <w:hideMark/>
          </w:tcPr>
          <w:p w14:paraId="3AB237BC"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r>
      <w:tr w:rsidR="000724F3" w:rsidRPr="003B6D90" w14:paraId="1676A4C4" w14:textId="77777777" w:rsidTr="00B07E0C">
        <w:trPr>
          <w:trHeight w:val="300"/>
        </w:trPr>
        <w:tc>
          <w:tcPr>
            <w:tcW w:w="441" w:type="dxa"/>
            <w:shd w:val="clear" w:color="auto" w:fill="auto"/>
            <w:noWrap/>
            <w:vAlign w:val="bottom"/>
            <w:hideMark/>
          </w:tcPr>
          <w:p w14:paraId="3E2F5DD7"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c>
          <w:tcPr>
            <w:tcW w:w="7512" w:type="dxa"/>
            <w:shd w:val="clear" w:color="auto" w:fill="auto"/>
            <w:noWrap/>
            <w:vAlign w:val="bottom"/>
            <w:hideMark/>
          </w:tcPr>
          <w:p w14:paraId="3A2FC7D7" w14:textId="77777777" w:rsidR="000724F3" w:rsidRPr="003B6D90" w:rsidRDefault="000724F3" w:rsidP="00B07E0C">
            <w:pPr>
              <w:spacing w:after="0" w:line="240" w:lineRule="auto"/>
              <w:jc w:val="center"/>
              <w:rPr>
                <w:rFonts w:ascii="Times New Roman" w:eastAsia="Times New Roman" w:hAnsi="Times New Roman" w:cs="Times New Roman"/>
                <w:b/>
                <w:bCs/>
                <w:color w:val="000000"/>
                <w:sz w:val="24"/>
                <w:szCs w:val="24"/>
                <w:lang w:val="sq-AL"/>
              </w:rPr>
            </w:pPr>
            <w:r w:rsidRPr="003B6D90">
              <w:rPr>
                <w:rFonts w:ascii="Times New Roman" w:eastAsia="Times New Roman" w:hAnsi="Times New Roman" w:cs="Times New Roman"/>
                <w:b/>
                <w:bCs/>
                <w:color w:val="000000"/>
                <w:sz w:val="24"/>
                <w:szCs w:val="24"/>
                <w:lang w:val="sq-AL"/>
              </w:rPr>
              <w:t xml:space="preserve">  Politikat kontabël dhe shënimet shpjeguese në pasqyrat financiare </w:t>
            </w:r>
          </w:p>
        </w:tc>
        <w:tc>
          <w:tcPr>
            <w:tcW w:w="250" w:type="dxa"/>
            <w:shd w:val="clear" w:color="auto" w:fill="auto"/>
            <w:noWrap/>
            <w:vAlign w:val="bottom"/>
            <w:hideMark/>
          </w:tcPr>
          <w:p w14:paraId="56124890"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r>
      <w:tr w:rsidR="000724F3" w:rsidRPr="003B6D90" w14:paraId="3A72A27E" w14:textId="77777777" w:rsidTr="00B07E0C">
        <w:trPr>
          <w:trHeight w:val="300"/>
        </w:trPr>
        <w:tc>
          <w:tcPr>
            <w:tcW w:w="441" w:type="dxa"/>
            <w:shd w:val="clear" w:color="auto" w:fill="auto"/>
            <w:noWrap/>
            <w:vAlign w:val="bottom"/>
          </w:tcPr>
          <w:p w14:paraId="609BAE9F"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c>
          <w:tcPr>
            <w:tcW w:w="7512" w:type="dxa"/>
            <w:shd w:val="clear" w:color="auto" w:fill="auto"/>
            <w:noWrap/>
            <w:vAlign w:val="bottom"/>
          </w:tcPr>
          <w:p w14:paraId="4F86E52C" w14:textId="789076C0" w:rsidR="000724F3" w:rsidRPr="003B6D90" w:rsidRDefault="000724F3" w:rsidP="00B07E0C">
            <w:pPr>
              <w:spacing w:after="0" w:line="240" w:lineRule="auto"/>
              <w:jc w:val="center"/>
              <w:rPr>
                <w:rFonts w:ascii="Times New Roman" w:eastAsia="Times New Roman" w:hAnsi="Times New Roman" w:cs="Times New Roman"/>
                <w:b/>
                <w:bCs/>
                <w:color w:val="000000"/>
                <w:sz w:val="24"/>
                <w:szCs w:val="24"/>
                <w:lang w:val="sq-AL"/>
              </w:rPr>
            </w:pPr>
            <w:r w:rsidRPr="003B6D90">
              <w:rPr>
                <w:rFonts w:ascii="Times New Roman" w:eastAsia="Times New Roman" w:hAnsi="Times New Roman" w:cs="Times New Roman"/>
                <w:b/>
                <w:bCs/>
                <w:color w:val="000000"/>
                <w:sz w:val="24"/>
                <w:szCs w:val="24"/>
                <w:lang w:val="sq-AL"/>
              </w:rPr>
              <w:t xml:space="preserve">për vitin që përfundon më 31 </w:t>
            </w:r>
            <w:r>
              <w:rPr>
                <w:rFonts w:ascii="Times New Roman" w:eastAsia="Times New Roman" w:hAnsi="Times New Roman" w:cs="Times New Roman"/>
                <w:b/>
                <w:bCs/>
                <w:color w:val="000000"/>
                <w:sz w:val="24"/>
                <w:szCs w:val="24"/>
                <w:lang w:val="sq-AL"/>
              </w:rPr>
              <w:t>D</w:t>
            </w:r>
            <w:r w:rsidRPr="003B6D90">
              <w:rPr>
                <w:rFonts w:ascii="Times New Roman" w:eastAsia="Times New Roman" w:hAnsi="Times New Roman" w:cs="Times New Roman"/>
                <w:b/>
                <w:bCs/>
                <w:color w:val="000000"/>
                <w:sz w:val="24"/>
                <w:szCs w:val="24"/>
                <w:lang w:val="sq-AL"/>
              </w:rPr>
              <w:t>hjetor 20</w:t>
            </w:r>
            <w:r>
              <w:rPr>
                <w:rFonts w:ascii="Times New Roman" w:eastAsia="Times New Roman" w:hAnsi="Times New Roman" w:cs="Times New Roman"/>
                <w:b/>
                <w:bCs/>
                <w:color w:val="000000"/>
                <w:sz w:val="24"/>
                <w:szCs w:val="24"/>
                <w:lang w:val="sq-AL"/>
              </w:rPr>
              <w:t>2</w:t>
            </w:r>
            <w:r w:rsidR="004C3552">
              <w:rPr>
                <w:rFonts w:ascii="Times New Roman" w:eastAsia="Times New Roman" w:hAnsi="Times New Roman" w:cs="Times New Roman"/>
                <w:b/>
                <w:bCs/>
                <w:color w:val="000000"/>
                <w:sz w:val="24"/>
                <w:szCs w:val="24"/>
                <w:lang w:val="sq-AL"/>
              </w:rPr>
              <w:t>1</w:t>
            </w:r>
          </w:p>
        </w:tc>
        <w:tc>
          <w:tcPr>
            <w:tcW w:w="250" w:type="dxa"/>
            <w:shd w:val="clear" w:color="auto" w:fill="auto"/>
            <w:noWrap/>
            <w:vAlign w:val="bottom"/>
          </w:tcPr>
          <w:p w14:paraId="0512B9E8"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r>
    </w:tbl>
    <w:p w14:paraId="5AD091DD" w14:textId="77777777" w:rsidR="000724F3" w:rsidRPr="003B6D90" w:rsidRDefault="000724F3" w:rsidP="000724F3">
      <w:pPr>
        <w:spacing w:line="240" w:lineRule="auto"/>
        <w:contextualSpacing/>
        <w:jc w:val="both"/>
        <w:rPr>
          <w:rFonts w:ascii="Times New Roman" w:eastAsia="Times New Roman" w:hAnsi="Times New Roman" w:cs="Times New Roman"/>
          <w:b/>
          <w:sz w:val="24"/>
          <w:szCs w:val="24"/>
          <w:lang w:val="sq-AL" w:eastAsia="en-GB"/>
        </w:rPr>
      </w:pPr>
    </w:p>
    <w:p w14:paraId="0E78C02D" w14:textId="77777777" w:rsidR="000724F3" w:rsidRPr="003B6D90" w:rsidRDefault="000724F3" w:rsidP="000724F3">
      <w:pPr>
        <w:spacing w:line="240" w:lineRule="auto"/>
        <w:ind w:left="720"/>
        <w:contextualSpacing/>
        <w:jc w:val="both"/>
        <w:rPr>
          <w:rFonts w:ascii="Times New Roman" w:eastAsia="Times New Roman" w:hAnsi="Times New Roman" w:cs="Times New Roman"/>
          <w:b/>
          <w:sz w:val="24"/>
          <w:szCs w:val="24"/>
          <w:lang w:val="sq-AL" w:eastAsia="en-GB"/>
        </w:rPr>
      </w:pPr>
    </w:p>
    <w:p w14:paraId="49713F9C" w14:textId="77777777" w:rsidR="000724F3" w:rsidRPr="003B6D90" w:rsidRDefault="000724F3" w:rsidP="000724F3">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INFORMATA TË PËRGJITHSHME</w:t>
      </w:r>
    </w:p>
    <w:p w14:paraId="18A22588"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1F868E6D" w14:textId="77777777" w:rsidR="000724F3" w:rsidRPr="00BD2B1C" w:rsidRDefault="000724F3" w:rsidP="000724F3">
      <w:pPr>
        <w:rPr>
          <w:rFonts w:ascii="Times New Roman" w:eastAsia="Times New Roman" w:hAnsi="Times New Roman" w:cs="Times New Roman"/>
          <w:color w:val="000000"/>
          <w:sz w:val="24"/>
          <w:szCs w:val="24"/>
          <w:lang w:val="sq-AL"/>
        </w:rPr>
      </w:pPr>
      <w:r>
        <w:rPr>
          <w:rFonts w:ascii="Times New Roman" w:eastAsia="Times New Roman" w:hAnsi="Times New Roman" w:cs="Times New Roman"/>
          <w:b/>
          <w:bCs/>
          <w:color w:val="000000"/>
          <w:sz w:val="24"/>
          <w:szCs w:val="24"/>
          <w:lang w:val="sq-AL"/>
        </w:rPr>
        <w:t xml:space="preserve">“Qendra Kosovare për Studime të Sigurisë – QKSS ” </w:t>
      </w:r>
      <w:r w:rsidRPr="003B6D90">
        <w:rPr>
          <w:rFonts w:ascii="Times New Roman" w:eastAsia="MS Mincho" w:hAnsi="Times New Roman" w:cs="Times New Roman"/>
          <w:noProof/>
          <w:sz w:val="24"/>
          <w:szCs w:val="24"/>
          <w:lang w:val="sq-AL"/>
        </w:rPr>
        <w:t xml:space="preserve">është një </w:t>
      </w:r>
      <w:r>
        <w:rPr>
          <w:rFonts w:ascii="Times New Roman" w:eastAsia="MS Mincho" w:hAnsi="Times New Roman" w:cs="Times New Roman"/>
          <w:noProof/>
          <w:sz w:val="24"/>
          <w:szCs w:val="24"/>
          <w:lang w:val="sq-AL"/>
        </w:rPr>
        <w:t>organizatë jo-qeveritare</w:t>
      </w:r>
      <w:r w:rsidRPr="003B6D90">
        <w:rPr>
          <w:rFonts w:ascii="Times New Roman" w:eastAsia="MS Mincho" w:hAnsi="Times New Roman" w:cs="Times New Roman"/>
          <w:noProof/>
          <w:sz w:val="24"/>
          <w:szCs w:val="24"/>
          <w:lang w:val="sq-AL"/>
        </w:rPr>
        <w:t xml:space="preserve"> e regjistruar në Kosovë. Adresa e regjistruar e zyrës dhe vendi bazë i </w:t>
      </w:r>
      <w:r>
        <w:rPr>
          <w:rFonts w:ascii="Times New Roman" w:eastAsia="MS Mincho" w:hAnsi="Times New Roman" w:cs="Times New Roman"/>
          <w:noProof/>
          <w:sz w:val="24"/>
          <w:szCs w:val="24"/>
          <w:lang w:val="sq-AL"/>
        </w:rPr>
        <w:t>organizatë</w:t>
      </w:r>
      <w:r w:rsidRPr="003B6D90">
        <w:rPr>
          <w:rFonts w:ascii="Times New Roman" w:eastAsia="MS Mincho" w:hAnsi="Times New Roman" w:cs="Times New Roman"/>
          <w:noProof/>
          <w:sz w:val="24"/>
          <w:szCs w:val="24"/>
          <w:lang w:val="sq-AL"/>
        </w:rPr>
        <w:t xml:space="preserve"> është </w:t>
      </w:r>
      <w:r>
        <w:rPr>
          <w:rFonts w:ascii="Times New Roman" w:eastAsia="MS Mincho" w:hAnsi="Times New Roman" w:cs="Times New Roman"/>
          <w:noProof/>
          <w:sz w:val="24"/>
          <w:szCs w:val="24"/>
          <w:lang w:val="sq-AL"/>
        </w:rPr>
        <w:t xml:space="preserve">Rr.Sylejman Vokshi Llam.2 Bll.2.2 Nr.1 ne Prishtinë </w:t>
      </w:r>
      <w:r w:rsidRPr="003B6D90">
        <w:rPr>
          <w:rFonts w:ascii="Times New Roman" w:eastAsia="MS Mincho" w:hAnsi="Times New Roman" w:cs="Times New Roman"/>
          <w:noProof/>
          <w:sz w:val="24"/>
          <w:szCs w:val="24"/>
          <w:lang w:val="sq-AL"/>
        </w:rPr>
        <w:t xml:space="preserve">  </w:t>
      </w:r>
      <w:r w:rsidRPr="00BD2B1C">
        <w:rPr>
          <w:rFonts w:ascii="Times New Roman" w:eastAsia="Times New Roman" w:hAnsi="Times New Roman" w:cs="Times New Roman"/>
          <w:color w:val="000000"/>
          <w:sz w:val="24"/>
          <w:szCs w:val="24"/>
          <w:lang w:val="sq-AL"/>
        </w:rPr>
        <w:t xml:space="preserve">Aktiviteti kryesor i "QKSS “  është studimi dhe kerkimi shkencor , organizim te tryezave dhe konferencave ne sferen e politikave te sigurise dhe mbrojtjes . </w:t>
      </w:r>
    </w:p>
    <w:p w14:paraId="0812B209"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 xml:space="preserve">Pasqyrat financiare janë të prezantuar në EURO, monedhë të cilën e përdor </w:t>
      </w:r>
      <w:r>
        <w:rPr>
          <w:rFonts w:ascii="Times New Roman" w:eastAsia="Times New Roman" w:hAnsi="Times New Roman" w:cs="Times New Roman"/>
          <w:sz w:val="24"/>
          <w:szCs w:val="24"/>
          <w:lang w:val="sq-AL" w:eastAsia="en-GB"/>
        </w:rPr>
        <w:t>Organizata</w:t>
      </w:r>
      <w:r w:rsidRPr="003B6D90">
        <w:rPr>
          <w:rFonts w:ascii="Times New Roman" w:eastAsia="Times New Roman" w:hAnsi="Times New Roman" w:cs="Times New Roman"/>
          <w:sz w:val="24"/>
          <w:szCs w:val="24"/>
          <w:lang w:val="sq-AL" w:eastAsia="en-GB"/>
        </w:rPr>
        <w:t xml:space="preserve"> për t’i kryer funksionet e saj.</w:t>
      </w:r>
    </w:p>
    <w:p w14:paraId="5044ACDB"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75A82020"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4DE57245" w14:textId="77777777" w:rsidR="000724F3" w:rsidRPr="003B6D90" w:rsidRDefault="000724F3" w:rsidP="000724F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ADAPTIMI I STANDARDEVE NDËRKOMBËTARE TË RAPORTIMIT FINANCIAR TË REJA DHE TË RISHIKUARA</w:t>
      </w:r>
    </w:p>
    <w:p w14:paraId="765DAAA3"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02682CCC" w14:textId="77777777" w:rsidR="000724F3" w:rsidRPr="003B6D90" w:rsidRDefault="000724F3" w:rsidP="000724F3">
      <w:pPr>
        <w:spacing w:after="0" w:line="240" w:lineRule="auto"/>
        <w:jc w:val="both"/>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 xml:space="preserve">2.1  standardet dhe interpretime efektive për periudhën aktuale </w:t>
      </w:r>
    </w:p>
    <w:p w14:paraId="718B5211"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08D84CB8"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Standardet e mëposhtme, ndryshimet në standardet ekzistuese dhe interpretimet e lëshuara nga Bordi i Standardeve Ndërkombëtarë të Kontabilitetit janë efektive për periudhën aktuale.</w:t>
      </w:r>
    </w:p>
    <w:p w14:paraId="6D03E0AB"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48CEF84E"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SNRF 14 “llogarite e shtyra te rregullatorit”</w:t>
      </w:r>
      <w:r w:rsidRPr="003B6D90">
        <w:rPr>
          <w:rFonts w:ascii="Times New Roman" w:eastAsia="Times New Roman" w:hAnsi="Times New Roman" w:cs="Times New Roman"/>
          <w:sz w:val="24"/>
          <w:szCs w:val="24"/>
          <w:lang w:val="sq-AL" w:eastAsia="en-GB"/>
        </w:rPr>
        <w:t xml:space="preserve"> (efektiv për periudhat vjetore qe fillojnë me ose pas 1 janarit).</w:t>
      </w:r>
    </w:p>
    <w:p w14:paraId="4718AFA9"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 xml:space="preserve">Ndryshimet në SNRF 10 “pasqyrat financiare te konsoliduara”, SNRF 12 “shpalosja e interesave ne entitetet tjera” dhe SNK 28 “Invesitmet ne pjesëmarrje dhe sipërmarrjet e përbashkëta” – </w:t>
      </w:r>
      <w:r w:rsidRPr="003B6D90">
        <w:rPr>
          <w:rFonts w:ascii="Times New Roman" w:eastAsia="Times New Roman" w:hAnsi="Times New Roman" w:cs="Times New Roman"/>
          <w:sz w:val="24"/>
          <w:szCs w:val="24"/>
          <w:lang w:val="sq-AL" w:eastAsia="en-GB"/>
        </w:rPr>
        <w:t>Njësitë investuese: aplikimi i përjashtimit te konsolidimit (në fuqi për periudhat vjetore që fillojnë me ose pas 1 janarit).</w:t>
      </w:r>
    </w:p>
    <w:p w14:paraId="1917D2BE"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Ndryshimet në SNRF 11 “marrëveshjet e përbashkëta” –</w:t>
      </w:r>
      <w:r w:rsidRPr="003B6D90">
        <w:rPr>
          <w:rFonts w:ascii="Times New Roman" w:eastAsia="Times New Roman" w:hAnsi="Times New Roman" w:cs="Times New Roman"/>
          <w:sz w:val="24"/>
          <w:szCs w:val="24"/>
          <w:lang w:val="sq-AL" w:eastAsia="en-GB"/>
        </w:rPr>
        <w:t xml:space="preserve"> Kontabiliteti për blerjet e interesave ne aktivitetet e përbashkëta (efektiv për periudhat vjetore qe fillojnë me ose pas 1 janarit).</w:t>
      </w:r>
    </w:p>
    <w:p w14:paraId="41FC8F87"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Ndryshimet në SNK 1 “Paraqitja e pasqyrave financiare” –</w:t>
      </w:r>
      <w:r w:rsidRPr="003B6D90">
        <w:rPr>
          <w:rFonts w:ascii="Times New Roman" w:eastAsia="Times New Roman" w:hAnsi="Times New Roman" w:cs="Times New Roman"/>
          <w:sz w:val="24"/>
          <w:szCs w:val="24"/>
          <w:lang w:val="sq-AL" w:eastAsia="en-GB"/>
        </w:rPr>
        <w:t xml:space="preserve"> inicimi i shpalosjes (efektive për periudhat vjetore qe fillojnë me ose pas 1 janarit).</w:t>
      </w:r>
    </w:p>
    <w:p w14:paraId="111AF2FB"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 xml:space="preserve"> </w:t>
      </w:r>
      <w:r w:rsidRPr="003B6D90">
        <w:rPr>
          <w:rFonts w:ascii="Times New Roman" w:eastAsia="Times New Roman" w:hAnsi="Times New Roman" w:cs="Times New Roman"/>
          <w:b/>
          <w:sz w:val="24"/>
          <w:szCs w:val="24"/>
          <w:lang w:val="sq-AL" w:eastAsia="en-GB"/>
        </w:rPr>
        <w:t>Ndryshimet në SNK 16</w:t>
      </w:r>
      <w:r w:rsidRPr="003B6D90">
        <w:rPr>
          <w:rFonts w:ascii="Times New Roman" w:eastAsia="Times New Roman" w:hAnsi="Times New Roman" w:cs="Times New Roman"/>
          <w:sz w:val="24"/>
          <w:szCs w:val="24"/>
          <w:lang w:val="sq-AL" w:eastAsia="en-GB"/>
        </w:rPr>
        <w:t xml:space="preserve"> “</w:t>
      </w:r>
      <w:r w:rsidRPr="003B6D90">
        <w:rPr>
          <w:rFonts w:ascii="Times New Roman" w:eastAsia="Times New Roman" w:hAnsi="Times New Roman" w:cs="Times New Roman"/>
          <w:b/>
          <w:sz w:val="24"/>
          <w:szCs w:val="24"/>
          <w:lang w:val="sq-AL" w:eastAsia="en-GB"/>
        </w:rPr>
        <w:t>Prona, impiantet dhe pajisjet” dhe SNK 38</w:t>
      </w:r>
      <w:r w:rsidRPr="003B6D90">
        <w:rPr>
          <w:rFonts w:ascii="Times New Roman" w:eastAsia="Times New Roman" w:hAnsi="Times New Roman" w:cs="Times New Roman"/>
          <w:sz w:val="24"/>
          <w:szCs w:val="24"/>
          <w:lang w:val="sq-AL" w:eastAsia="en-GB"/>
        </w:rPr>
        <w:t xml:space="preserve"> “pasuritë e paprekshme” – Sqarimi i metodave të pranueshme të zhvlerësimit dhe amortizimit (efektiv për periudhat vjetore që fillojnë me ose pas 1 janarit).</w:t>
      </w:r>
    </w:p>
    <w:p w14:paraId="51E83EDB"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Ndryshimet në SNK 16</w:t>
      </w:r>
      <w:r w:rsidRPr="003B6D90">
        <w:rPr>
          <w:rFonts w:ascii="Times New Roman" w:eastAsia="Times New Roman" w:hAnsi="Times New Roman" w:cs="Times New Roman"/>
          <w:sz w:val="24"/>
          <w:szCs w:val="24"/>
          <w:lang w:val="sq-AL" w:eastAsia="en-GB"/>
        </w:rPr>
        <w:t xml:space="preserve"> “</w:t>
      </w:r>
      <w:r w:rsidRPr="003B6D90">
        <w:rPr>
          <w:rFonts w:ascii="Times New Roman" w:eastAsia="Times New Roman" w:hAnsi="Times New Roman" w:cs="Times New Roman"/>
          <w:b/>
          <w:sz w:val="24"/>
          <w:szCs w:val="24"/>
          <w:lang w:val="sq-AL" w:eastAsia="en-GB"/>
        </w:rPr>
        <w:t xml:space="preserve">Prona, impiantet dhe pajisjet” dhe SNK 41 “aktivitetet bujqësorë”- Bujqësi: </w:t>
      </w:r>
      <w:r w:rsidRPr="003B6D90">
        <w:rPr>
          <w:rFonts w:ascii="Times New Roman" w:eastAsia="Times New Roman" w:hAnsi="Times New Roman" w:cs="Times New Roman"/>
          <w:sz w:val="24"/>
          <w:szCs w:val="24"/>
          <w:lang w:val="sq-AL" w:eastAsia="en-GB"/>
        </w:rPr>
        <w:t xml:space="preserve">pronari i kultivimeve (efektiv për periudhat vjetore që fillojnë me ose  pas 1 janarit 2016), </w:t>
      </w:r>
    </w:p>
    <w:p w14:paraId="55C02FD3"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Ndryshimet në SNK 27 “Pasqyrat Financiare Individuale”- metoda e kapitalit neto në Pasqyrat Financiarë Individuale (efektiv për periudhat vjetore që fillojnë me ose pas 1 janarit).</w:t>
      </w:r>
    </w:p>
    <w:p w14:paraId="48F78A71"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5B86F441"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 xml:space="preserve">Ndryshimet në standardet e ndryshme “Përmirësimet në SNRF-të ( te ciklit 2012-2014 </w:t>
      </w:r>
      <w:r w:rsidRPr="003B6D90">
        <w:rPr>
          <w:rFonts w:ascii="Times New Roman" w:eastAsia="Times New Roman" w:hAnsi="Times New Roman" w:cs="Times New Roman"/>
          <w:sz w:val="24"/>
          <w:szCs w:val="24"/>
          <w:lang w:val="sq-AL" w:eastAsia="en-GB"/>
        </w:rPr>
        <w:t>që rezultojnë nga projekti për përmirësim vjetor të SNRF (SNRF 5, SNRF 7 , SNK 9, dhe SNK 34) fillimisht me qellim që të shmangin mospërputhjet dhe të qartësojnë formulimin (ndryshimet janë efektive për periudhat vjetore qe fillojnë me ose pas 1 janarit).</w:t>
      </w:r>
    </w:p>
    <w:p w14:paraId="63554E55" w14:textId="77777777" w:rsidR="000724F3" w:rsidRPr="003B6D90" w:rsidRDefault="000724F3" w:rsidP="000724F3">
      <w:pPr>
        <w:spacing w:after="0" w:line="240" w:lineRule="auto"/>
        <w:jc w:val="both"/>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sz w:val="24"/>
          <w:szCs w:val="24"/>
          <w:lang w:val="sq-AL" w:eastAsia="en-GB"/>
        </w:rPr>
        <w:t>Adaptimi i këtyre ndryshimeve në standardet dhe interpretimet ekzistuese nuk ka rezultuar në ndonjë ndryshim në pasqyrat financiare të kompanisë.</w:t>
      </w:r>
    </w:p>
    <w:p w14:paraId="5AAB0239"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6D811B66" w14:textId="77777777" w:rsidR="000724F3" w:rsidRDefault="000724F3" w:rsidP="000724F3">
      <w:pPr>
        <w:spacing w:after="0" w:line="240" w:lineRule="auto"/>
        <w:jc w:val="both"/>
        <w:rPr>
          <w:rFonts w:ascii="Times New Roman" w:eastAsia="Times New Roman" w:hAnsi="Times New Roman" w:cs="Times New Roman"/>
          <w:sz w:val="24"/>
          <w:szCs w:val="24"/>
          <w:lang w:val="sq-AL" w:eastAsia="en-GB"/>
        </w:rPr>
      </w:pPr>
    </w:p>
    <w:p w14:paraId="0D04F7F7" w14:textId="77777777" w:rsidR="000724F3" w:rsidRPr="003B6D90" w:rsidRDefault="000724F3" w:rsidP="000724F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BAZA E PËRGATITJES DHE POLITIKAT  KONTABËL</w:t>
      </w:r>
    </w:p>
    <w:p w14:paraId="12A98564" w14:textId="77777777" w:rsidR="000724F3" w:rsidRDefault="000724F3" w:rsidP="000724F3">
      <w:pPr>
        <w:spacing w:after="0" w:line="240" w:lineRule="auto"/>
        <w:jc w:val="both"/>
        <w:rPr>
          <w:rFonts w:ascii="Times New Roman" w:eastAsia="Times New Roman" w:hAnsi="Times New Roman" w:cs="Times New Roman"/>
          <w:lang w:val="sq-AL" w:eastAsia="en-GB"/>
        </w:rPr>
      </w:pPr>
    </w:p>
    <w:p w14:paraId="0C6F0BD2" w14:textId="77777777" w:rsidR="000724F3" w:rsidRPr="003B4815" w:rsidRDefault="000724F3" w:rsidP="000724F3">
      <w:pPr>
        <w:pStyle w:val="ListParagraph"/>
        <w:numPr>
          <w:ilvl w:val="1"/>
          <w:numId w:val="1"/>
        </w:numPr>
        <w:jc w:val="both"/>
        <w:rPr>
          <w:rFonts w:eastAsia="Times New Roman"/>
          <w:b/>
          <w:bCs/>
          <w:lang w:val="sq-AL" w:eastAsia="en-GB"/>
        </w:rPr>
      </w:pPr>
      <w:r w:rsidRPr="003B4815">
        <w:rPr>
          <w:rFonts w:eastAsia="Times New Roman"/>
          <w:b/>
          <w:bCs/>
          <w:lang w:val="sq-AL" w:eastAsia="en-GB"/>
        </w:rPr>
        <w:t xml:space="preserve">Baza e përgaditjes </w:t>
      </w:r>
    </w:p>
    <w:p w14:paraId="1B253D80" w14:textId="06F89B76"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Pasqyra</w:t>
      </w:r>
      <w:r>
        <w:rPr>
          <w:rFonts w:ascii="Times New Roman" w:eastAsia="Times New Roman" w:hAnsi="Times New Roman" w:cs="Times New Roman"/>
          <w:sz w:val="24"/>
          <w:szCs w:val="24"/>
          <w:lang w:val="sq-AL" w:eastAsia="en-GB"/>
        </w:rPr>
        <w:t>t</w:t>
      </w:r>
      <w:r w:rsidRPr="003A2620">
        <w:rPr>
          <w:rFonts w:ascii="Times New Roman" w:eastAsia="Times New Roman" w:hAnsi="Times New Roman" w:cs="Times New Roman"/>
          <w:sz w:val="24"/>
          <w:szCs w:val="24"/>
          <w:lang w:val="sq-AL" w:eastAsia="en-GB"/>
        </w:rPr>
        <w:t xml:space="preserve"> financiare t</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 xml:space="preserve"> bashkangjitura janë përga</w:t>
      </w:r>
      <w:r>
        <w:rPr>
          <w:rFonts w:ascii="Times New Roman" w:eastAsia="Times New Roman" w:hAnsi="Times New Roman" w:cs="Times New Roman"/>
          <w:sz w:val="24"/>
          <w:szCs w:val="24"/>
          <w:lang w:val="sq-AL" w:eastAsia="en-GB"/>
        </w:rPr>
        <w:t>d</w:t>
      </w:r>
      <w:r w:rsidRPr="003A2620">
        <w:rPr>
          <w:rFonts w:ascii="Times New Roman" w:eastAsia="Times New Roman" w:hAnsi="Times New Roman" w:cs="Times New Roman"/>
          <w:sz w:val="24"/>
          <w:szCs w:val="24"/>
          <w:lang w:val="sq-AL" w:eastAsia="en-GB"/>
        </w:rPr>
        <w:t xml:space="preserve">itur për qëllime të raportimit në përputhje me Ligjet e </w:t>
      </w:r>
      <w:r>
        <w:rPr>
          <w:rFonts w:ascii="Times New Roman" w:eastAsia="Times New Roman" w:hAnsi="Times New Roman" w:cs="Times New Roman"/>
          <w:sz w:val="24"/>
          <w:szCs w:val="24"/>
          <w:lang w:val="sq-AL" w:eastAsia="en-GB"/>
        </w:rPr>
        <w:t>a</w:t>
      </w:r>
      <w:r w:rsidRPr="003A2620">
        <w:rPr>
          <w:rFonts w:ascii="Times New Roman" w:eastAsia="Times New Roman" w:hAnsi="Times New Roman" w:cs="Times New Roman"/>
          <w:sz w:val="24"/>
          <w:szCs w:val="24"/>
          <w:lang w:val="sq-AL" w:eastAsia="en-GB"/>
        </w:rPr>
        <w:t>plikueshme në Kosovë dhe paraqesin një pasqyrë të plotë të ngjarjeve ekonomike që kanë ndo</w:t>
      </w:r>
      <w:r>
        <w:rPr>
          <w:rFonts w:ascii="Times New Roman" w:eastAsia="Times New Roman" w:hAnsi="Times New Roman" w:cs="Times New Roman"/>
          <w:sz w:val="24"/>
          <w:szCs w:val="24"/>
          <w:lang w:val="sq-AL" w:eastAsia="en-GB"/>
        </w:rPr>
        <w:t>d</w:t>
      </w:r>
      <w:r w:rsidRPr="003A2620">
        <w:rPr>
          <w:rFonts w:ascii="Times New Roman" w:eastAsia="Times New Roman" w:hAnsi="Times New Roman" w:cs="Times New Roman"/>
          <w:sz w:val="24"/>
          <w:szCs w:val="24"/>
          <w:lang w:val="sq-AL" w:eastAsia="en-GB"/>
        </w:rPr>
        <w:t>hur  në QKSS – Qendra Kosovare pë Studime të Sigurisë më 202</w:t>
      </w:r>
      <w:r w:rsidR="004C3552">
        <w:rPr>
          <w:rFonts w:ascii="Times New Roman" w:eastAsia="Times New Roman" w:hAnsi="Times New Roman" w:cs="Times New Roman"/>
          <w:sz w:val="24"/>
          <w:szCs w:val="24"/>
          <w:lang w:val="sq-AL" w:eastAsia="en-GB"/>
        </w:rPr>
        <w:t>1</w:t>
      </w:r>
      <w:r w:rsidRPr="003A2620">
        <w:rPr>
          <w:rFonts w:ascii="Times New Roman" w:eastAsia="Times New Roman" w:hAnsi="Times New Roman" w:cs="Times New Roman"/>
          <w:sz w:val="24"/>
          <w:szCs w:val="24"/>
          <w:lang w:val="sq-AL" w:eastAsia="en-GB"/>
        </w:rPr>
        <w:t>.</w:t>
      </w:r>
    </w:p>
    <w:p w14:paraId="7EB5128A" w14:textId="77777777" w:rsidR="000724F3" w:rsidRDefault="000724F3" w:rsidP="000724F3">
      <w:pPr>
        <w:spacing w:after="0" w:line="240" w:lineRule="auto"/>
        <w:jc w:val="both"/>
        <w:rPr>
          <w:rFonts w:ascii="Times New Roman" w:eastAsia="Times New Roman" w:hAnsi="Times New Roman" w:cs="Times New Roman"/>
          <w:lang w:val="sq-AL" w:eastAsia="en-GB"/>
        </w:rPr>
      </w:pPr>
    </w:p>
    <w:p w14:paraId="03953D6F" w14:textId="77777777" w:rsidR="000724F3" w:rsidRPr="003B4815" w:rsidRDefault="000724F3" w:rsidP="000724F3">
      <w:pPr>
        <w:pStyle w:val="ListParagraph"/>
        <w:numPr>
          <w:ilvl w:val="1"/>
          <w:numId w:val="1"/>
        </w:numPr>
        <w:jc w:val="both"/>
        <w:rPr>
          <w:rFonts w:eastAsia="Times New Roman"/>
          <w:b/>
          <w:bCs/>
          <w:lang w:val="sq-AL" w:eastAsia="en-GB"/>
        </w:rPr>
      </w:pPr>
      <w:r w:rsidRPr="003B4815">
        <w:rPr>
          <w:rFonts w:eastAsia="Times New Roman"/>
          <w:b/>
          <w:bCs/>
          <w:lang w:val="sq-AL" w:eastAsia="en-GB"/>
        </w:rPr>
        <w:t xml:space="preserve">Valuta e përdorur </w:t>
      </w:r>
    </w:p>
    <w:p w14:paraId="0F628433"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Valuta e përdorur për raportim nga ana e QKSS- Qendra Kosovare për Studime të Sigurisë ësht</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 xml:space="preserve"> valuta EURO .</w:t>
      </w:r>
    </w:p>
    <w:p w14:paraId="517646D5" w14:textId="77777777" w:rsidR="000724F3" w:rsidRPr="003A2620" w:rsidRDefault="000724F3" w:rsidP="000724F3">
      <w:pPr>
        <w:pStyle w:val="ListParagraph"/>
        <w:numPr>
          <w:ilvl w:val="1"/>
          <w:numId w:val="1"/>
        </w:numPr>
        <w:jc w:val="both"/>
        <w:rPr>
          <w:rFonts w:eastAsia="Times New Roman"/>
          <w:b/>
          <w:bCs/>
          <w:lang w:val="sq-AL" w:eastAsia="en-GB"/>
        </w:rPr>
      </w:pPr>
      <w:r w:rsidRPr="003A2620">
        <w:rPr>
          <w:rFonts w:eastAsia="Times New Roman"/>
          <w:b/>
          <w:bCs/>
          <w:lang w:val="sq-AL" w:eastAsia="en-GB"/>
        </w:rPr>
        <w:t xml:space="preserve">Politikat e rëndësishme të kontabilitetit </w:t>
      </w:r>
    </w:p>
    <w:p w14:paraId="41883CF5"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Një përmbledhje e politikave më të rëndësishme të kontabilitetit për përgaditjen e pasqyrave financiare janë prezentuar më poshtë :</w:t>
      </w:r>
    </w:p>
    <w:p w14:paraId="22976C35" w14:textId="77777777" w:rsidR="000724F3" w:rsidRPr="003A2620" w:rsidRDefault="000724F3" w:rsidP="000724F3">
      <w:pPr>
        <w:jc w:val="both"/>
        <w:rPr>
          <w:rFonts w:ascii="Times New Roman" w:eastAsia="Times New Roman" w:hAnsi="Times New Roman" w:cs="Times New Roman"/>
          <w:sz w:val="24"/>
          <w:szCs w:val="24"/>
          <w:lang w:val="sq-AL" w:eastAsia="en-GB"/>
        </w:rPr>
      </w:pPr>
    </w:p>
    <w:p w14:paraId="261EE1A1" w14:textId="77777777" w:rsidR="000724F3" w:rsidRPr="003B4815" w:rsidRDefault="000724F3" w:rsidP="000724F3">
      <w:pPr>
        <w:pStyle w:val="ListParagraph"/>
        <w:numPr>
          <w:ilvl w:val="2"/>
          <w:numId w:val="1"/>
        </w:numPr>
        <w:jc w:val="both"/>
        <w:rPr>
          <w:rFonts w:eastAsia="Times New Roman"/>
          <w:b/>
          <w:bCs/>
          <w:lang w:val="sq-AL" w:eastAsia="en-GB"/>
        </w:rPr>
      </w:pPr>
      <w:r w:rsidRPr="003B4815">
        <w:rPr>
          <w:rFonts w:eastAsia="Times New Roman"/>
          <w:b/>
          <w:bCs/>
          <w:lang w:val="sq-AL" w:eastAsia="en-GB"/>
        </w:rPr>
        <w:t xml:space="preserve">Paraja dhe ekuivalentët e parasë </w:t>
      </w:r>
    </w:p>
    <w:p w14:paraId="09C2B60F"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Për qëllime të pasqyrës së rrjedhës së parasë ,paraja dhe ekuivalent</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t e parasë janë konsideruar të jetë paraja e gatshme dhe parja n</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 xml:space="preserve"> bankë .</w:t>
      </w:r>
    </w:p>
    <w:p w14:paraId="0DCF0564" w14:textId="77777777" w:rsidR="000724F3" w:rsidRPr="003A2620" w:rsidRDefault="000724F3" w:rsidP="000724F3">
      <w:pPr>
        <w:pStyle w:val="ListParagraph"/>
        <w:numPr>
          <w:ilvl w:val="2"/>
          <w:numId w:val="1"/>
        </w:numPr>
        <w:jc w:val="both"/>
        <w:rPr>
          <w:rFonts w:eastAsia="Times New Roman"/>
          <w:b/>
          <w:bCs/>
          <w:lang w:val="sq-AL" w:eastAsia="en-GB"/>
        </w:rPr>
      </w:pPr>
      <w:r w:rsidRPr="003A2620">
        <w:rPr>
          <w:rFonts w:eastAsia="Times New Roman"/>
          <w:b/>
          <w:bCs/>
          <w:lang w:val="sq-AL" w:eastAsia="en-GB"/>
        </w:rPr>
        <w:t xml:space="preserve">Njohja e të hyrave </w:t>
      </w:r>
    </w:p>
    <w:p w14:paraId="5A0E79AF"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Të hyrat nga grantet janë njohur si të hyra për periudhën të cilës i takojnë .Në fund të vitit mbetja e të ardhurave mbi shpenzimet trajtohet si suficit.</w:t>
      </w:r>
    </w:p>
    <w:p w14:paraId="785F1CCA" w14:textId="77777777" w:rsidR="000724F3" w:rsidRPr="003A2620" w:rsidRDefault="000724F3" w:rsidP="000724F3">
      <w:pPr>
        <w:pStyle w:val="ListParagraph"/>
        <w:numPr>
          <w:ilvl w:val="2"/>
          <w:numId w:val="1"/>
        </w:numPr>
        <w:jc w:val="both"/>
        <w:rPr>
          <w:rFonts w:eastAsia="Times New Roman"/>
          <w:b/>
          <w:bCs/>
          <w:lang w:val="sq-AL" w:eastAsia="en-GB"/>
        </w:rPr>
      </w:pPr>
      <w:r w:rsidRPr="003A2620">
        <w:rPr>
          <w:rFonts w:eastAsia="Times New Roman"/>
          <w:b/>
          <w:bCs/>
          <w:lang w:val="sq-AL" w:eastAsia="en-GB"/>
        </w:rPr>
        <w:t xml:space="preserve">Njohja e shpenzimeve </w:t>
      </w:r>
    </w:p>
    <w:p w14:paraId="73E07900"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Shpenzimet e ndodhura per gjenerimin e të hyrave janë njohur në periudhën përkatëse në bazë të kostos historike.</w:t>
      </w:r>
    </w:p>
    <w:p w14:paraId="058EEC84" w14:textId="77777777" w:rsidR="000724F3" w:rsidRPr="003A2620" w:rsidRDefault="000724F3" w:rsidP="000724F3">
      <w:pPr>
        <w:pStyle w:val="ListParagraph"/>
        <w:numPr>
          <w:ilvl w:val="2"/>
          <w:numId w:val="1"/>
        </w:numPr>
        <w:jc w:val="both"/>
        <w:rPr>
          <w:rFonts w:eastAsia="Times New Roman"/>
          <w:b/>
          <w:bCs/>
          <w:lang w:val="sq-AL" w:eastAsia="en-GB"/>
        </w:rPr>
      </w:pPr>
      <w:r w:rsidRPr="003A2620">
        <w:rPr>
          <w:rFonts w:eastAsia="Times New Roman"/>
          <w:b/>
          <w:bCs/>
          <w:lang w:val="sq-AL" w:eastAsia="en-GB"/>
        </w:rPr>
        <w:t xml:space="preserve">Tatimet </w:t>
      </w:r>
    </w:p>
    <w:p w14:paraId="57142CA3"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 xml:space="preserve"> Qendra Kosovare për Studime të Sigurisë – QKSS është e regjistruar si organizatë jo-profitabile nën rregulloret e Kosovës ,dhe e posedon statusin e benificuar si OJQ ,</w:t>
      </w:r>
      <w:r>
        <w:rPr>
          <w:rFonts w:ascii="Times New Roman" w:eastAsia="Times New Roman" w:hAnsi="Times New Roman" w:cs="Times New Roman"/>
          <w:sz w:val="24"/>
          <w:szCs w:val="24"/>
          <w:lang w:val="sq-AL" w:eastAsia="en-GB"/>
        </w:rPr>
        <w:t xml:space="preserve"> </w:t>
      </w:r>
      <w:r w:rsidRPr="003A2620">
        <w:rPr>
          <w:rFonts w:ascii="Times New Roman" w:eastAsia="Times New Roman" w:hAnsi="Times New Roman" w:cs="Times New Roman"/>
          <w:sz w:val="24"/>
          <w:szCs w:val="24"/>
          <w:lang w:val="sq-AL" w:eastAsia="en-GB"/>
        </w:rPr>
        <w:t>prandaj është e përjashtuar nga tatimi në korporata mbi të tepricën e të hyrave ndaj shpenzimeve.</w:t>
      </w:r>
    </w:p>
    <w:p w14:paraId="3C015B42" w14:textId="77777777" w:rsidR="000724F3" w:rsidRDefault="000724F3" w:rsidP="000724F3">
      <w:pPr>
        <w:jc w:val="both"/>
        <w:rPr>
          <w:rFonts w:eastAsia="Times New Roman"/>
          <w:b/>
          <w:bCs/>
          <w:lang w:val="sq-AL" w:eastAsia="en-GB"/>
        </w:rPr>
      </w:pPr>
    </w:p>
    <w:p w14:paraId="1B16B7FD" w14:textId="77777777" w:rsidR="000724F3" w:rsidRPr="00861CAD" w:rsidRDefault="000724F3" w:rsidP="000724F3">
      <w:pPr>
        <w:pStyle w:val="ListParagraph"/>
        <w:numPr>
          <w:ilvl w:val="0"/>
          <w:numId w:val="1"/>
        </w:numPr>
        <w:jc w:val="both"/>
        <w:rPr>
          <w:rFonts w:eastAsia="Times New Roman"/>
          <w:b/>
          <w:bCs/>
          <w:lang w:val="sq-AL" w:eastAsia="en-GB"/>
        </w:rPr>
      </w:pPr>
      <w:r w:rsidRPr="00861CAD">
        <w:rPr>
          <w:rFonts w:eastAsia="Times New Roman"/>
          <w:b/>
          <w:bCs/>
          <w:lang w:val="sq-AL" w:eastAsia="en-GB"/>
        </w:rPr>
        <w:lastRenderedPageBreak/>
        <w:t xml:space="preserve">PARAJA DHE GJENDJA NË BANKË </w:t>
      </w:r>
    </w:p>
    <w:p w14:paraId="519D238D"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w:t>
      </w:r>
    </w:p>
    <w:p w14:paraId="1469AC5F"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1847"/>
        <w:gridCol w:w="1843"/>
      </w:tblGrid>
      <w:tr w:rsidR="000724F3" w:rsidRPr="003B6D90" w14:paraId="23832DB8" w14:textId="77777777" w:rsidTr="00B07E0C">
        <w:trPr>
          <w:trHeight w:val="200"/>
        </w:trPr>
        <w:tc>
          <w:tcPr>
            <w:tcW w:w="4962" w:type="dxa"/>
            <w:vAlign w:val="bottom"/>
          </w:tcPr>
          <w:p w14:paraId="35066B50"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847" w:type="dxa"/>
            <w:vAlign w:val="bottom"/>
          </w:tcPr>
          <w:p w14:paraId="524FBBBF" w14:textId="0CF7DDCF"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20</w:t>
            </w:r>
            <w:r>
              <w:rPr>
                <w:rFonts w:ascii="Times New Roman" w:eastAsia="Times New Roman" w:hAnsi="Times New Roman" w:cs="Times New Roman"/>
                <w:b/>
                <w:bCs/>
                <w:lang w:val="sq-AL" w:eastAsia="en-GB"/>
              </w:rPr>
              <w:t>2</w:t>
            </w:r>
            <w:r w:rsidR="004C3552">
              <w:rPr>
                <w:rFonts w:ascii="Times New Roman" w:eastAsia="Times New Roman" w:hAnsi="Times New Roman" w:cs="Times New Roman"/>
                <w:b/>
                <w:bCs/>
                <w:lang w:val="sq-AL" w:eastAsia="en-GB"/>
              </w:rPr>
              <w:t>1</w:t>
            </w:r>
          </w:p>
        </w:tc>
        <w:tc>
          <w:tcPr>
            <w:tcW w:w="1843" w:type="dxa"/>
            <w:vAlign w:val="bottom"/>
          </w:tcPr>
          <w:p w14:paraId="57E26680" w14:textId="247796C3"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20</w:t>
            </w:r>
          </w:p>
        </w:tc>
      </w:tr>
      <w:tr w:rsidR="000724F3" w:rsidRPr="003B6D90" w14:paraId="0EBFE7BA" w14:textId="77777777" w:rsidTr="00B07E0C">
        <w:trPr>
          <w:trHeight w:val="290"/>
        </w:trPr>
        <w:tc>
          <w:tcPr>
            <w:tcW w:w="4962" w:type="dxa"/>
            <w:vAlign w:val="bottom"/>
          </w:tcPr>
          <w:p w14:paraId="7A7DB0E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b/>
                <w:lang w:val="sq-AL" w:eastAsia="en-GB"/>
              </w:rPr>
            </w:pPr>
          </w:p>
        </w:tc>
        <w:tc>
          <w:tcPr>
            <w:tcW w:w="1847" w:type="dxa"/>
            <w:vAlign w:val="bottom"/>
          </w:tcPr>
          <w:p w14:paraId="42F9601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1843" w:type="dxa"/>
            <w:vAlign w:val="bottom"/>
          </w:tcPr>
          <w:p w14:paraId="73E762A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25384CB6" w14:textId="77777777" w:rsidTr="00B07E0C">
        <w:trPr>
          <w:trHeight w:val="290"/>
        </w:trPr>
        <w:tc>
          <w:tcPr>
            <w:tcW w:w="4962" w:type="dxa"/>
            <w:vAlign w:val="bottom"/>
          </w:tcPr>
          <w:p w14:paraId="73297C3F"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Paraja në arkë</w:t>
            </w:r>
          </w:p>
        </w:tc>
        <w:tc>
          <w:tcPr>
            <w:tcW w:w="1847" w:type="dxa"/>
            <w:vAlign w:val="bottom"/>
          </w:tcPr>
          <w:p w14:paraId="19906723" w14:textId="515EB458"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24</w:t>
            </w:r>
          </w:p>
        </w:tc>
        <w:tc>
          <w:tcPr>
            <w:tcW w:w="1843" w:type="dxa"/>
            <w:vAlign w:val="bottom"/>
          </w:tcPr>
          <w:p w14:paraId="53D17312" w14:textId="6D48A58B"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30</w:t>
            </w:r>
          </w:p>
        </w:tc>
      </w:tr>
      <w:tr w:rsidR="000724F3" w:rsidRPr="003B6D90" w14:paraId="1391880D" w14:textId="77777777" w:rsidTr="00B07E0C">
        <w:trPr>
          <w:trHeight w:val="289"/>
        </w:trPr>
        <w:tc>
          <w:tcPr>
            <w:tcW w:w="4962" w:type="dxa"/>
            <w:vAlign w:val="bottom"/>
          </w:tcPr>
          <w:p w14:paraId="7BE3AD6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Paraja në bankë</w:t>
            </w:r>
          </w:p>
        </w:tc>
        <w:tc>
          <w:tcPr>
            <w:tcW w:w="1847" w:type="dxa"/>
            <w:vAlign w:val="bottom"/>
          </w:tcPr>
          <w:p w14:paraId="6880D0C3" w14:textId="4B0D62BB"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193,595</w:t>
            </w:r>
          </w:p>
        </w:tc>
        <w:tc>
          <w:tcPr>
            <w:tcW w:w="1843" w:type="dxa"/>
            <w:vAlign w:val="bottom"/>
          </w:tcPr>
          <w:p w14:paraId="30D5C273" w14:textId="798651D9"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w:t>
            </w:r>
            <w:r w:rsidR="004C3552">
              <w:rPr>
                <w:rFonts w:ascii="Times New Roman" w:eastAsia="Times New Roman" w:hAnsi="Times New Roman" w:cs="Times New Roman"/>
                <w:lang w:val="sq-AL" w:eastAsia="en-GB"/>
              </w:rPr>
              <w:t>61,504</w:t>
            </w:r>
          </w:p>
        </w:tc>
      </w:tr>
      <w:tr w:rsidR="000724F3" w:rsidRPr="003B6D90" w14:paraId="203E286C" w14:textId="77777777" w:rsidTr="00B07E0C">
        <w:trPr>
          <w:trHeight w:val="289"/>
        </w:trPr>
        <w:tc>
          <w:tcPr>
            <w:tcW w:w="4962" w:type="dxa"/>
            <w:vAlign w:val="bottom"/>
          </w:tcPr>
          <w:p w14:paraId="511D1F22"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Depozitat afatshkurta bankare</w:t>
            </w:r>
          </w:p>
        </w:tc>
        <w:tc>
          <w:tcPr>
            <w:tcW w:w="1847" w:type="dxa"/>
            <w:vAlign w:val="bottom"/>
          </w:tcPr>
          <w:p w14:paraId="65402EF8"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c>
          <w:tcPr>
            <w:tcW w:w="1843" w:type="dxa"/>
            <w:vAlign w:val="bottom"/>
          </w:tcPr>
          <w:p w14:paraId="6A56D534"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r>
      <w:tr w:rsidR="000724F3" w:rsidRPr="003B6D90" w14:paraId="010ABD37" w14:textId="77777777" w:rsidTr="00B07E0C">
        <w:trPr>
          <w:trHeight w:val="54"/>
        </w:trPr>
        <w:tc>
          <w:tcPr>
            <w:tcW w:w="4962" w:type="dxa"/>
            <w:vAlign w:val="bottom"/>
          </w:tcPr>
          <w:p w14:paraId="0BA18CB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847" w:type="dxa"/>
            <w:vAlign w:val="bottom"/>
          </w:tcPr>
          <w:p w14:paraId="4FA09F13"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1843" w:type="dxa"/>
            <w:vAlign w:val="bottom"/>
          </w:tcPr>
          <w:p w14:paraId="60037E2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r>
      <w:tr w:rsidR="000724F3" w:rsidRPr="003B6D90" w14:paraId="3EA1FF9C" w14:textId="77777777" w:rsidTr="00B07E0C">
        <w:trPr>
          <w:trHeight w:val="29"/>
        </w:trPr>
        <w:tc>
          <w:tcPr>
            <w:tcW w:w="4962" w:type="dxa"/>
            <w:vAlign w:val="bottom"/>
          </w:tcPr>
          <w:p w14:paraId="140998D0"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Total </w:t>
            </w:r>
          </w:p>
        </w:tc>
        <w:tc>
          <w:tcPr>
            <w:tcW w:w="1847" w:type="dxa"/>
            <w:vAlign w:val="bottom"/>
          </w:tcPr>
          <w:p w14:paraId="4F380F05" w14:textId="7D9E4012"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193,619</w:t>
            </w:r>
          </w:p>
        </w:tc>
        <w:tc>
          <w:tcPr>
            <w:tcW w:w="1843" w:type="dxa"/>
            <w:vAlign w:val="bottom"/>
          </w:tcPr>
          <w:p w14:paraId="34A525A5" w14:textId="678A917D"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1</w:t>
            </w:r>
            <w:r w:rsidR="004C3552">
              <w:rPr>
                <w:rFonts w:ascii="Times New Roman" w:eastAsia="Times New Roman" w:hAnsi="Times New Roman" w:cs="Times New Roman"/>
                <w:b/>
                <w:bCs/>
                <w:lang w:val="sq-AL" w:eastAsia="en-GB"/>
              </w:rPr>
              <w:t>61,534</w:t>
            </w:r>
          </w:p>
        </w:tc>
      </w:tr>
    </w:tbl>
    <w:p w14:paraId="67D7E740" w14:textId="77777777" w:rsidR="000724F3" w:rsidRPr="003B6D90" w:rsidRDefault="000724F3" w:rsidP="000724F3">
      <w:pPr>
        <w:spacing w:after="0" w:line="240" w:lineRule="auto"/>
        <w:jc w:val="both"/>
        <w:rPr>
          <w:rFonts w:ascii="Times New Roman" w:eastAsia="Times New Roman" w:hAnsi="Times New Roman" w:cs="Times New Roman"/>
          <w:sz w:val="8"/>
          <w:szCs w:val="8"/>
          <w:lang w:val="sq-AL" w:eastAsia="en-GB"/>
        </w:rPr>
      </w:pPr>
    </w:p>
    <w:p w14:paraId="60CF6B73"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p w14:paraId="1059F585"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r>
        <w:rPr>
          <w:rFonts w:ascii="Times New Roman" w:eastAsia="Times New Roman" w:hAnsi="Times New Roman" w:cs="Times New Roman"/>
          <w:b/>
          <w:szCs w:val="20"/>
          <w:lang w:val="sq-AL" w:eastAsia="en-GB"/>
        </w:rPr>
        <w:t>5</w:t>
      </w:r>
      <w:r w:rsidRPr="003B6D90">
        <w:rPr>
          <w:rFonts w:ascii="Times New Roman" w:eastAsia="Times New Roman" w:hAnsi="Times New Roman" w:cs="Times New Roman"/>
          <w:b/>
          <w:szCs w:val="20"/>
          <w:lang w:val="sq-AL" w:eastAsia="en-GB"/>
        </w:rPr>
        <w:t>. L</w:t>
      </w:r>
      <w:r>
        <w:rPr>
          <w:rFonts w:ascii="Times New Roman" w:eastAsia="Times New Roman" w:hAnsi="Times New Roman" w:cs="Times New Roman"/>
          <w:b/>
          <w:szCs w:val="20"/>
          <w:lang w:val="sq-AL" w:eastAsia="en-GB"/>
        </w:rPr>
        <w:t xml:space="preserve">LOGARITË E PAGUESHME TREGTARE DHE TË TJERA </w:t>
      </w:r>
    </w:p>
    <w:p w14:paraId="662CA184"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4"/>
        <w:gridCol w:w="1682"/>
        <w:gridCol w:w="30"/>
        <w:gridCol w:w="2068"/>
        <w:gridCol w:w="9"/>
      </w:tblGrid>
      <w:tr w:rsidR="000724F3" w:rsidRPr="003B6D90" w14:paraId="56769628" w14:textId="77777777" w:rsidTr="00B07E0C">
        <w:trPr>
          <w:gridAfter w:val="1"/>
          <w:wAfter w:w="9" w:type="dxa"/>
          <w:trHeight w:val="183"/>
        </w:trPr>
        <w:tc>
          <w:tcPr>
            <w:tcW w:w="4894" w:type="dxa"/>
            <w:vAlign w:val="bottom"/>
          </w:tcPr>
          <w:p w14:paraId="593D399E"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1CD8351F" w14:textId="7A0E7BAB"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202</w:t>
            </w:r>
            <w:r w:rsidR="004C3552">
              <w:rPr>
                <w:rFonts w:ascii="Times New Roman" w:eastAsia="Times New Roman" w:hAnsi="Times New Roman" w:cs="Times New Roman"/>
                <w:b/>
                <w:bCs/>
                <w:lang w:val="sq-AL" w:eastAsia="en-GB"/>
              </w:rPr>
              <w:t>1</w:t>
            </w:r>
          </w:p>
        </w:tc>
        <w:tc>
          <w:tcPr>
            <w:tcW w:w="2098" w:type="dxa"/>
            <w:gridSpan w:val="2"/>
            <w:vAlign w:val="bottom"/>
          </w:tcPr>
          <w:p w14:paraId="2D7AAE1F" w14:textId="6ADAB89A"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20</w:t>
            </w:r>
          </w:p>
        </w:tc>
      </w:tr>
      <w:tr w:rsidR="000724F3" w:rsidRPr="003B6D90" w14:paraId="68E02B87" w14:textId="77777777" w:rsidTr="00B07E0C">
        <w:trPr>
          <w:gridAfter w:val="1"/>
          <w:wAfter w:w="9" w:type="dxa"/>
          <w:trHeight w:val="265"/>
        </w:trPr>
        <w:tc>
          <w:tcPr>
            <w:tcW w:w="4894" w:type="dxa"/>
            <w:vAlign w:val="bottom"/>
          </w:tcPr>
          <w:p w14:paraId="1E6B4D88"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158A1B7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2098" w:type="dxa"/>
            <w:gridSpan w:val="2"/>
            <w:vAlign w:val="bottom"/>
          </w:tcPr>
          <w:p w14:paraId="6E4BB15D"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4C4A3F6B" w14:textId="77777777" w:rsidTr="00B07E0C">
        <w:trPr>
          <w:trHeight w:val="265"/>
        </w:trPr>
        <w:tc>
          <w:tcPr>
            <w:tcW w:w="4894" w:type="dxa"/>
            <w:vAlign w:val="bottom"/>
          </w:tcPr>
          <w:p w14:paraId="7AF2C5D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Llogaritë e pagueshme tregtare dhe të tjera </w:t>
            </w:r>
          </w:p>
        </w:tc>
        <w:tc>
          <w:tcPr>
            <w:tcW w:w="1682" w:type="dxa"/>
            <w:vAlign w:val="bottom"/>
          </w:tcPr>
          <w:p w14:paraId="4E9D97BC" w14:textId="3B0CFE6E"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c>
          <w:tcPr>
            <w:tcW w:w="2107" w:type="dxa"/>
            <w:gridSpan w:val="3"/>
            <w:vAlign w:val="bottom"/>
          </w:tcPr>
          <w:p w14:paraId="0ED2E93B" w14:textId="39631E2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4</w:t>
            </w:r>
            <w:r w:rsidR="004C3552">
              <w:rPr>
                <w:rFonts w:ascii="Times New Roman" w:eastAsia="Times New Roman" w:hAnsi="Times New Roman" w:cs="Times New Roman"/>
                <w:lang w:val="sq-AL" w:eastAsia="en-GB"/>
              </w:rPr>
              <w:t>03</w:t>
            </w:r>
          </w:p>
        </w:tc>
      </w:tr>
      <w:tr w:rsidR="000724F3" w:rsidRPr="003B6D90" w14:paraId="67DA5060" w14:textId="77777777" w:rsidTr="00B07E0C">
        <w:trPr>
          <w:trHeight w:val="264"/>
        </w:trPr>
        <w:tc>
          <w:tcPr>
            <w:tcW w:w="4894" w:type="dxa"/>
            <w:vAlign w:val="bottom"/>
          </w:tcPr>
          <w:p w14:paraId="576FD48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Detyrimet për tatime dhe kontribute </w:t>
            </w:r>
          </w:p>
        </w:tc>
        <w:tc>
          <w:tcPr>
            <w:tcW w:w="1682" w:type="dxa"/>
            <w:vAlign w:val="bottom"/>
          </w:tcPr>
          <w:p w14:paraId="7839CF2E" w14:textId="7C89A098"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c>
          <w:tcPr>
            <w:tcW w:w="2107" w:type="dxa"/>
            <w:gridSpan w:val="3"/>
            <w:vAlign w:val="bottom"/>
          </w:tcPr>
          <w:p w14:paraId="5CCE0D1F" w14:textId="56998E65"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3,118</w:t>
            </w:r>
          </w:p>
        </w:tc>
      </w:tr>
      <w:tr w:rsidR="000724F3" w:rsidRPr="003B6D90" w14:paraId="19DF257B" w14:textId="77777777" w:rsidTr="00B07E0C">
        <w:trPr>
          <w:trHeight w:val="320"/>
        </w:trPr>
        <w:tc>
          <w:tcPr>
            <w:tcW w:w="4894" w:type="dxa"/>
            <w:vAlign w:val="bottom"/>
          </w:tcPr>
          <w:p w14:paraId="3D4A6537"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Detyrimet për tatim në qira </w:t>
            </w:r>
          </w:p>
        </w:tc>
        <w:tc>
          <w:tcPr>
            <w:tcW w:w="1682" w:type="dxa"/>
            <w:vAlign w:val="bottom"/>
          </w:tcPr>
          <w:p w14:paraId="6A19CFDC" w14:textId="46E2D0DE"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c>
          <w:tcPr>
            <w:tcW w:w="2107" w:type="dxa"/>
            <w:gridSpan w:val="3"/>
            <w:vAlign w:val="bottom"/>
          </w:tcPr>
          <w:p w14:paraId="7B4825CD"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59</w:t>
            </w:r>
          </w:p>
        </w:tc>
      </w:tr>
      <w:tr w:rsidR="000724F3" w:rsidRPr="003B6D90" w14:paraId="2468CAC6" w14:textId="77777777" w:rsidTr="00B07E0C">
        <w:trPr>
          <w:trHeight w:val="26"/>
        </w:trPr>
        <w:tc>
          <w:tcPr>
            <w:tcW w:w="4894" w:type="dxa"/>
            <w:vAlign w:val="bottom"/>
          </w:tcPr>
          <w:p w14:paraId="20ADAAD7"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Totali</w:t>
            </w:r>
          </w:p>
        </w:tc>
        <w:tc>
          <w:tcPr>
            <w:tcW w:w="1682" w:type="dxa"/>
            <w:vAlign w:val="bottom"/>
          </w:tcPr>
          <w:p w14:paraId="417FB4B3" w14:textId="0673B2FD"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w:t>
            </w:r>
          </w:p>
        </w:tc>
        <w:tc>
          <w:tcPr>
            <w:tcW w:w="30" w:type="dxa"/>
            <w:vAlign w:val="bottom"/>
          </w:tcPr>
          <w:p w14:paraId="5B441283"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2077" w:type="dxa"/>
            <w:gridSpan w:val="2"/>
            <w:vAlign w:val="bottom"/>
          </w:tcPr>
          <w:p w14:paraId="5D872379" w14:textId="2DEE9F3D"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3,580</w:t>
            </w:r>
          </w:p>
        </w:tc>
      </w:tr>
    </w:tbl>
    <w:p w14:paraId="6337E465"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p w14:paraId="7241E80E" w14:textId="77777777" w:rsidR="000724F3"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p>
    <w:p w14:paraId="65705A78" w14:textId="77777777" w:rsidR="000724F3"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p>
    <w:p w14:paraId="224B9153"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r>
        <w:rPr>
          <w:rFonts w:ascii="Times New Roman" w:eastAsia="Times New Roman" w:hAnsi="Times New Roman" w:cs="Times New Roman"/>
          <w:b/>
          <w:szCs w:val="20"/>
          <w:lang w:val="sq-AL" w:eastAsia="en-GB"/>
        </w:rPr>
        <w:t>6</w:t>
      </w:r>
      <w:r w:rsidRPr="003B6D90">
        <w:rPr>
          <w:rFonts w:ascii="Times New Roman" w:eastAsia="Times New Roman" w:hAnsi="Times New Roman" w:cs="Times New Roman"/>
          <w:b/>
          <w:szCs w:val="20"/>
          <w:lang w:val="sq-AL" w:eastAsia="en-GB"/>
        </w:rPr>
        <w:t xml:space="preserve">. </w:t>
      </w:r>
      <w:r>
        <w:rPr>
          <w:rFonts w:ascii="Times New Roman" w:eastAsia="Times New Roman" w:hAnsi="Times New Roman" w:cs="Times New Roman"/>
          <w:b/>
          <w:szCs w:val="20"/>
          <w:lang w:val="sq-AL" w:eastAsia="en-GB"/>
        </w:rPr>
        <w:t xml:space="preserve">TË HYRAT E SHTYERA </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1706"/>
        <w:gridCol w:w="2126"/>
        <w:gridCol w:w="10"/>
      </w:tblGrid>
      <w:tr w:rsidR="000724F3" w:rsidRPr="003B6D90" w14:paraId="7BCA9606" w14:textId="77777777" w:rsidTr="00B07E0C">
        <w:trPr>
          <w:gridAfter w:val="1"/>
          <w:wAfter w:w="10" w:type="dxa"/>
          <w:trHeight w:val="200"/>
        </w:trPr>
        <w:tc>
          <w:tcPr>
            <w:tcW w:w="4962" w:type="dxa"/>
            <w:vAlign w:val="bottom"/>
          </w:tcPr>
          <w:p w14:paraId="4812EDE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706" w:type="dxa"/>
            <w:vAlign w:val="bottom"/>
          </w:tcPr>
          <w:p w14:paraId="193E6F99" w14:textId="228BF432"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20</w:t>
            </w:r>
            <w:r>
              <w:rPr>
                <w:rFonts w:ascii="Times New Roman" w:eastAsia="Times New Roman" w:hAnsi="Times New Roman" w:cs="Times New Roman"/>
                <w:b/>
                <w:bCs/>
                <w:lang w:val="sq-AL" w:eastAsia="en-GB"/>
              </w:rPr>
              <w:t>2</w:t>
            </w:r>
            <w:r w:rsidR="004C3552">
              <w:rPr>
                <w:rFonts w:ascii="Times New Roman" w:eastAsia="Times New Roman" w:hAnsi="Times New Roman" w:cs="Times New Roman"/>
                <w:b/>
                <w:bCs/>
                <w:lang w:val="sq-AL" w:eastAsia="en-GB"/>
              </w:rPr>
              <w:t>1</w:t>
            </w:r>
          </w:p>
        </w:tc>
        <w:tc>
          <w:tcPr>
            <w:tcW w:w="2126" w:type="dxa"/>
            <w:vAlign w:val="bottom"/>
          </w:tcPr>
          <w:p w14:paraId="0B4BF389" w14:textId="5AEE460B"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20</w:t>
            </w:r>
          </w:p>
        </w:tc>
      </w:tr>
      <w:tr w:rsidR="000724F3" w:rsidRPr="003B6D90" w14:paraId="2CDAEA54" w14:textId="77777777" w:rsidTr="00B07E0C">
        <w:trPr>
          <w:gridAfter w:val="1"/>
          <w:wAfter w:w="10" w:type="dxa"/>
          <w:trHeight w:val="290"/>
        </w:trPr>
        <w:tc>
          <w:tcPr>
            <w:tcW w:w="4962" w:type="dxa"/>
            <w:vAlign w:val="bottom"/>
          </w:tcPr>
          <w:p w14:paraId="25EA5A6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706" w:type="dxa"/>
            <w:vAlign w:val="bottom"/>
          </w:tcPr>
          <w:p w14:paraId="2A9B86A0"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2126" w:type="dxa"/>
            <w:vAlign w:val="bottom"/>
          </w:tcPr>
          <w:p w14:paraId="2B88741B"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252950FC" w14:textId="77777777" w:rsidTr="00B07E0C">
        <w:trPr>
          <w:trHeight w:val="290"/>
        </w:trPr>
        <w:tc>
          <w:tcPr>
            <w:tcW w:w="4962" w:type="dxa"/>
            <w:vAlign w:val="bottom"/>
          </w:tcPr>
          <w:p w14:paraId="655C6D08"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706" w:type="dxa"/>
            <w:vAlign w:val="bottom"/>
          </w:tcPr>
          <w:p w14:paraId="25CFC7EA"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2136" w:type="dxa"/>
            <w:gridSpan w:val="2"/>
            <w:vAlign w:val="bottom"/>
          </w:tcPr>
          <w:p w14:paraId="2F352716"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r>
      <w:tr w:rsidR="000724F3" w:rsidRPr="003B6D90" w14:paraId="20F6AE55" w14:textId="77777777" w:rsidTr="00B07E0C">
        <w:trPr>
          <w:trHeight w:val="290"/>
        </w:trPr>
        <w:tc>
          <w:tcPr>
            <w:tcW w:w="4962" w:type="dxa"/>
            <w:vAlign w:val="bottom"/>
          </w:tcPr>
          <w:p w14:paraId="3D148CC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Të Hyrat e Shtyera </w:t>
            </w:r>
          </w:p>
        </w:tc>
        <w:tc>
          <w:tcPr>
            <w:tcW w:w="1706" w:type="dxa"/>
            <w:vAlign w:val="bottom"/>
          </w:tcPr>
          <w:p w14:paraId="586A18E4" w14:textId="6F72980B"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193,619</w:t>
            </w:r>
          </w:p>
        </w:tc>
        <w:tc>
          <w:tcPr>
            <w:tcW w:w="2136" w:type="dxa"/>
            <w:gridSpan w:val="2"/>
            <w:vAlign w:val="bottom"/>
          </w:tcPr>
          <w:p w14:paraId="7949D82A" w14:textId="20024EAA"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157,954</w:t>
            </w:r>
          </w:p>
        </w:tc>
      </w:tr>
      <w:tr w:rsidR="000724F3" w:rsidRPr="003B6D90" w14:paraId="424D6E2E" w14:textId="77777777" w:rsidTr="00B07E0C">
        <w:trPr>
          <w:gridAfter w:val="1"/>
          <w:wAfter w:w="10" w:type="dxa"/>
          <w:trHeight w:val="29"/>
        </w:trPr>
        <w:tc>
          <w:tcPr>
            <w:tcW w:w="4962" w:type="dxa"/>
            <w:vAlign w:val="bottom"/>
          </w:tcPr>
          <w:p w14:paraId="328ABC16"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Totali </w:t>
            </w:r>
          </w:p>
        </w:tc>
        <w:tc>
          <w:tcPr>
            <w:tcW w:w="1706" w:type="dxa"/>
            <w:vAlign w:val="bottom"/>
          </w:tcPr>
          <w:p w14:paraId="0F5E5D3B" w14:textId="4DB7C4DF"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193,619</w:t>
            </w:r>
          </w:p>
        </w:tc>
        <w:tc>
          <w:tcPr>
            <w:tcW w:w="2126" w:type="dxa"/>
            <w:vAlign w:val="bottom"/>
          </w:tcPr>
          <w:p w14:paraId="322B4D9E" w14:textId="0C28C2AD"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lang w:val="sq-AL" w:eastAsia="en-GB"/>
              </w:rPr>
              <w:t>157,954</w:t>
            </w:r>
          </w:p>
        </w:tc>
      </w:tr>
    </w:tbl>
    <w:p w14:paraId="2F88B500" w14:textId="77777777" w:rsidR="000724F3" w:rsidRPr="003B6D90" w:rsidRDefault="000724F3" w:rsidP="000724F3">
      <w:pPr>
        <w:spacing w:after="0" w:line="240" w:lineRule="auto"/>
        <w:jc w:val="both"/>
        <w:rPr>
          <w:rFonts w:ascii="Times New Roman" w:eastAsia="Times New Roman" w:hAnsi="Times New Roman" w:cs="Times New Roman"/>
          <w:b/>
          <w:lang w:val="sq-AL" w:eastAsia="en-GB"/>
        </w:rPr>
      </w:pPr>
    </w:p>
    <w:p w14:paraId="2A94961F" w14:textId="77777777" w:rsidR="000724F3" w:rsidRPr="003B6D90" w:rsidRDefault="000724F3" w:rsidP="000724F3">
      <w:pPr>
        <w:spacing w:after="0" w:line="240" w:lineRule="auto"/>
        <w:jc w:val="both"/>
        <w:rPr>
          <w:rFonts w:ascii="Times New Roman" w:eastAsia="Times New Roman" w:hAnsi="Times New Roman" w:cs="Times New Roman"/>
          <w:b/>
          <w:lang w:val="sq-AL" w:eastAsia="en-GB"/>
        </w:rPr>
      </w:pPr>
    </w:p>
    <w:p w14:paraId="214FE3ED" w14:textId="77777777" w:rsidR="000724F3" w:rsidRPr="003B6D90" w:rsidRDefault="000724F3" w:rsidP="000724F3">
      <w:pPr>
        <w:spacing w:after="0" w:line="240" w:lineRule="auto"/>
        <w:jc w:val="both"/>
        <w:rPr>
          <w:rFonts w:ascii="Times New Roman" w:eastAsia="Times New Roman" w:hAnsi="Times New Roman" w:cs="Times New Roman"/>
          <w:b/>
          <w:lang w:val="sq-AL" w:eastAsia="en-GB"/>
        </w:rPr>
      </w:pPr>
    </w:p>
    <w:p w14:paraId="10E7CB93" w14:textId="77777777" w:rsidR="000724F3" w:rsidRDefault="000724F3" w:rsidP="000724F3">
      <w:pPr>
        <w:spacing w:after="0" w:line="240" w:lineRule="auto"/>
        <w:jc w:val="both"/>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 xml:space="preserve">   </w:t>
      </w:r>
    </w:p>
    <w:p w14:paraId="27797D07" w14:textId="77777777" w:rsidR="000724F3" w:rsidRDefault="000724F3" w:rsidP="000724F3">
      <w:pPr>
        <w:spacing w:after="0" w:line="240" w:lineRule="auto"/>
        <w:jc w:val="both"/>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 xml:space="preserve">     7. PALËT E NDËRLIDHURA </w:t>
      </w:r>
    </w:p>
    <w:p w14:paraId="7ABE38FA" w14:textId="77777777" w:rsidR="000724F3" w:rsidRDefault="000724F3" w:rsidP="000724F3">
      <w:pPr>
        <w:spacing w:after="0" w:line="240" w:lineRule="auto"/>
        <w:jc w:val="both"/>
        <w:rPr>
          <w:rFonts w:ascii="Times New Roman" w:eastAsia="Times New Roman" w:hAnsi="Times New Roman" w:cs="Times New Roman"/>
          <w:b/>
          <w:lang w:val="sq-AL" w:eastAsia="en-GB"/>
        </w:rPr>
      </w:pPr>
    </w:p>
    <w:p w14:paraId="6E9CBAF0" w14:textId="77777777" w:rsidR="000724F3" w:rsidRPr="003A2620" w:rsidRDefault="000724F3" w:rsidP="000724F3">
      <w:pPr>
        <w:spacing w:after="0" w:line="240" w:lineRule="auto"/>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Për qëllime të këtyre pasqyrave financiare ,palët konsiderohen të ndërlidhura nëse njëra prej tyre ka mundësinë të kontrolloj palën tjetër, apo nëse njëra prej tyre ka ndikim në palën tjetër gjatë marrjes së vendimeve financiare apo operuese siç është cakur në SNK 24” Shpalosja e palëve të ndërlidhura “ .Në vështrimin e mundësisë së ekzistimit të palëve të ndërlidhura ,vëmendja është p</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rqendruar në aspektin e marrëdhënjes e jo në aspektin legal .</w:t>
      </w:r>
    </w:p>
    <w:p w14:paraId="0DBC8D97" w14:textId="77777777" w:rsidR="000724F3" w:rsidRPr="003A2620" w:rsidRDefault="000724F3" w:rsidP="000724F3">
      <w:pPr>
        <w:spacing w:after="0" w:line="240" w:lineRule="auto"/>
        <w:jc w:val="both"/>
        <w:rPr>
          <w:rFonts w:ascii="Times New Roman" w:eastAsia="Times New Roman" w:hAnsi="Times New Roman" w:cs="Times New Roman"/>
          <w:sz w:val="24"/>
          <w:szCs w:val="24"/>
          <w:lang w:val="sq-AL" w:eastAsia="en-GB"/>
        </w:rPr>
      </w:pPr>
    </w:p>
    <w:p w14:paraId="15908BD6" w14:textId="77777777" w:rsidR="000724F3" w:rsidRDefault="000724F3" w:rsidP="000724F3">
      <w:pPr>
        <w:spacing w:after="0" w:line="240" w:lineRule="auto"/>
        <w:jc w:val="both"/>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t xml:space="preserve">  </w:t>
      </w:r>
    </w:p>
    <w:p w14:paraId="65514A23"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7A95FFCC"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67832234" w14:textId="77777777" w:rsidR="000724F3" w:rsidRDefault="000724F3" w:rsidP="000724F3">
      <w:pPr>
        <w:spacing w:after="0" w:line="240" w:lineRule="auto"/>
        <w:jc w:val="both"/>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t xml:space="preserve">  </w:t>
      </w:r>
    </w:p>
    <w:p w14:paraId="2CC410B7"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78C1FE90"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54FE275"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24AF7DFE" w14:textId="77777777" w:rsidR="000724F3" w:rsidRDefault="000724F3" w:rsidP="000724F3">
      <w:pPr>
        <w:spacing w:after="0" w:line="240" w:lineRule="auto"/>
        <w:jc w:val="both"/>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lastRenderedPageBreak/>
        <w:t xml:space="preserve">     </w:t>
      </w:r>
      <w:r w:rsidRPr="00C5034E">
        <w:rPr>
          <w:rFonts w:ascii="Times New Roman" w:eastAsia="Times New Roman" w:hAnsi="Times New Roman" w:cs="Times New Roman"/>
          <w:b/>
          <w:lang w:val="sq-AL" w:eastAsia="en-GB"/>
        </w:rPr>
        <w:t>8.SHPENZIMET</w:t>
      </w:r>
      <w:r>
        <w:rPr>
          <w:rFonts w:ascii="Times New Roman" w:eastAsia="Times New Roman" w:hAnsi="Times New Roman" w:cs="Times New Roman"/>
          <w:bCs/>
          <w:lang w:val="sq-AL" w:eastAsia="en-GB"/>
        </w:rPr>
        <w:t xml:space="preserve"> </w:t>
      </w:r>
    </w:p>
    <w:p w14:paraId="7B814ACB"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4"/>
        <w:gridCol w:w="1682"/>
        <w:gridCol w:w="30"/>
        <w:gridCol w:w="2068"/>
        <w:gridCol w:w="9"/>
      </w:tblGrid>
      <w:tr w:rsidR="000724F3" w:rsidRPr="003B6D90" w14:paraId="3602DC4F" w14:textId="77777777" w:rsidTr="00B07E0C">
        <w:trPr>
          <w:gridAfter w:val="1"/>
          <w:wAfter w:w="9" w:type="dxa"/>
          <w:trHeight w:val="183"/>
        </w:trPr>
        <w:tc>
          <w:tcPr>
            <w:tcW w:w="4894" w:type="dxa"/>
            <w:vAlign w:val="bottom"/>
          </w:tcPr>
          <w:p w14:paraId="2A1F3F90"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0BD64DDC" w14:textId="06578649"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202</w:t>
            </w:r>
            <w:r w:rsidR="004C3552">
              <w:rPr>
                <w:rFonts w:ascii="Times New Roman" w:eastAsia="Times New Roman" w:hAnsi="Times New Roman" w:cs="Times New Roman"/>
                <w:b/>
                <w:bCs/>
                <w:lang w:val="sq-AL" w:eastAsia="en-GB"/>
              </w:rPr>
              <w:t>1</w:t>
            </w:r>
          </w:p>
        </w:tc>
        <w:tc>
          <w:tcPr>
            <w:tcW w:w="2098" w:type="dxa"/>
            <w:gridSpan w:val="2"/>
            <w:vAlign w:val="bottom"/>
          </w:tcPr>
          <w:p w14:paraId="37759C88" w14:textId="29F11D05"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20</w:t>
            </w:r>
          </w:p>
        </w:tc>
      </w:tr>
      <w:tr w:rsidR="000724F3" w:rsidRPr="003B6D90" w14:paraId="0B629E43" w14:textId="77777777" w:rsidTr="00B07E0C">
        <w:trPr>
          <w:gridAfter w:val="1"/>
          <w:wAfter w:w="9" w:type="dxa"/>
          <w:trHeight w:val="265"/>
        </w:trPr>
        <w:tc>
          <w:tcPr>
            <w:tcW w:w="4894" w:type="dxa"/>
            <w:vAlign w:val="bottom"/>
          </w:tcPr>
          <w:p w14:paraId="26CA8071"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41AE3C4D"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2098" w:type="dxa"/>
            <w:gridSpan w:val="2"/>
            <w:vAlign w:val="bottom"/>
          </w:tcPr>
          <w:p w14:paraId="544C3A3A"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79E74CB6" w14:textId="77777777" w:rsidTr="00B07E0C">
        <w:trPr>
          <w:trHeight w:val="265"/>
        </w:trPr>
        <w:tc>
          <w:tcPr>
            <w:tcW w:w="4894" w:type="dxa"/>
            <w:vAlign w:val="bottom"/>
          </w:tcPr>
          <w:p w14:paraId="615E25F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Shpenzimet e pagave </w:t>
            </w:r>
          </w:p>
        </w:tc>
        <w:tc>
          <w:tcPr>
            <w:tcW w:w="1682" w:type="dxa"/>
            <w:vAlign w:val="bottom"/>
          </w:tcPr>
          <w:p w14:paraId="73E436D8" w14:textId="16E33385"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190,192</w:t>
            </w:r>
          </w:p>
        </w:tc>
        <w:tc>
          <w:tcPr>
            <w:tcW w:w="2107" w:type="dxa"/>
            <w:gridSpan w:val="3"/>
            <w:vAlign w:val="bottom"/>
          </w:tcPr>
          <w:p w14:paraId="1518F7CE" w14:textId="4886B194"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w:t>
            </w:r>
            <w:r w:rsidR="004C3552">
              <w:rPr>
                <w:rFonts w:ascii="Times New Roman" w:eastAsia="Times New Roman" w:hAnsi="Times New Roman" w:cs="Times New Roman"/>
                <w:lang w:val="sq-AL" w:eastAsia="en-GB"/>
              </w:rPr>
              <w:t>70,875</w:t>
            </w:r>
          </w:p>
        </w:tc>
      </w:tr>
      <w:tr w:rsidR="000724F3" w:rsidRPr="003B6D90" w14:paraId="2FCBB5D7" w14:textId="77777777" w:rsidTr="00B07E0C">
        <w:trPr>
          <w:trHeight w:val="264"/>
        </w:trPr>
        <w:tc>
          <w:tcPr>
            <w:tcW w:w="4894" w:type="dxa"/>
            <w:vAlign w:val="bottom"/>
          </w:tcPr>
          <w:p w14:paraId="3976C8C5"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Shpenzimet nga regjistrimet kontabël</w:t>
            </w:r>
          </w:p>
        </w:tc>
        <w:tc>
          <w:tcPr>
            <w:tcW w:w="1682" w:type="dxa"/>
            <w:vAlign w:val="bottom"/>
          </w:tcPr>
          <w:p w14:paraId="1D0101B7" w14:textId="5CF7FD8A"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124,368</w:t>
            </w:r>
          </w:p>
        </w:tc>
        <w:tc>
          <w:tcPr>
            <w:tcW w:w="2107" w:type="dxa"/>
            <w:gridSpan w:val="3"/>
            <w:vAlign w:val="bottom"/>
          </w:tcPr>
          <w:p w14:paraId="4AAB7C48" w14:textId="03D4E646"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84,756</w:t>
            </w:r>
          </w:p>
        </w:tc>
      </w:tr>
      <w:tr w:rsidR="000724F3" w:rsidRPr="003B6D90" w14:paraId="05D035AB" w14:textId="77777777" w:rsidTr="00B07E0C">
        <w:trPr>
          <w:trHeight w:val="320"/>
        </w:trPr>
        <w:tc>
          <w:tcPr>
            <w:tcW w:w="4894" w:type="dxa"/>
            <w:vAlign w:val="bottom"/>
          </w:tcPr>
          <w:p w14:paraId="350BD139"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Shpenzimet e qirase </w:t>
            </w:r>
          </w:p>
        </w:tc>
        <w:tc>
          <w:tcPr>
            <w:tcW w:w="1682" w:type="dxa"/>
            <w:vAlign w:val="bottom"/>
          </w:tcPr>
          <w:p w14:paraId="21664290" w14:textId="6EFDDA98" w:rsidR="000724F3" w:rsidRPr="003B6D90" w:rsidRDefault="001D0A90" w:rsidP="00B07E0C">
            <w:pPr>
              <w:widowControl w:val="0"/>
              <w:autoSpaceDE w:val="0"/>
              <w:autoSpaceDN w:val="0"/>
              <w:adjustRightInd w:val="0"/>
              <w:spacing w:after="0" w:line="240" w:lineRule="auto"/>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           7,912</w:t>
            </w:r>
          </w:p>
        </w:tc>
        <w:tc>
          <w:tcPr>
            <w:tcW w:w="2107" w:type="dxa"/>
            <w:gridSpan w:val="3"/>
            <w:vAlign w:val="bottom"/>
          </w:tcPr>
          <w:p w14:paraId="6B145365" w14:textId="2186A3FE"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7,912</w:t>
            </w:r>
          </w:p>
        </w:tc>
      </w:tr>
      <w:tr w:rsidR="000724F3" w:rsidRPr="003B6D90" w14:paraId="3EE3B082" w14:textId="77777777" w:rsidTr="00B07E0C">
        <w:trPr>
          <w:trHeight w:val="26"/>
        </w:trPr>
        <w:tc>
          <w:tcPr>
            <w:tcW w:w="4894" w:type="dxa"/>
            <w:vAlign w:val="bottom"/>
          </w:tcPr>
          <w:p w14:paraId="1FA78ADC"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Shpenzimet nga provizionet bankare  </w:t>
            </w:r>
          </w:p>
        </w:tc>
        <w:tc>
          <w:tcPr>
            <w:tcW w:w="1682" w:type="dxa"/>
            <w:vAlign w:val="bottom"/>
          </w:tcPr>
          <w:p w14:paraId="7986D410" w14:textId="687F0FE0" w:rsidR="000724F3" w:rsidRPr="00520848"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t>855</w:t>
            </w:r>
          </w:p>
        </w:tc>
        <w:tc>
          <w:tcPr>
            <w:tcW w:w="30" w:type="dxa"/>
            <w:vAlign w:val="bottom"/>
          </w:tcPr>
          <w:p w14:paraId="44826837"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2077" w:type="dxa"/>
            <w:gridSpan w:val="2"/>
            <w:vAlign w:val="bottom"/>
          </w:tcPr>
          <w:p w14:paraId="59E4F04D" w14:textId="6BF12D91"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627</w:t>
            </w:r>
          </w:p>
        </w:tc>
      </w:tr>
      <w:tr w:rsidR="000724F3" w:rsidRPr="003B6D90" w14:paraId="4EF6A5BC" w14:textId="77777777" w:rsidTr="00B07E0C">
        <w:trPr>
          <w:trHeight w:val="26"/>
        </w:trPr>
        <w:tc>
          <w:tcPr>
            <w:tcW w:w="4894" w:type="dxa"/>
            <w:vAlign w:val="bottom"/>
          </w:tcPr>
          <w:p w14:paraId="3FF752B4" w14:textId="77777777" w:rsidR="000724F3" w:rsidRPr="00520848" w:rsidRDefault="000724F3" w:rsidP="00B07E0C">
            <w:pPr>
              <w:widowControl w:val="0"/>
              <w:autoSpaceDE w:val="0"/>
              <w:autoSpaceDN w:val="0"/>
              <w:adjustRightInd w:val="0"/>
              <w:spacing w:after="0" w:line="240" w:lineRule="auto"/>
              <w:jc w:val="both"/>
              <w:rPr>
                <w:rFonts w:ascii="Times New Roman" w:eastAsia="Times New Roman" w:hAnsi="Times New Roman" w:cs="Times New Roman"/>
                <w:b/>
                <w:bCs/>
                <w:lang w:val="sq-AL" w:eastAsia="en-GB"/>
              </w:rPr>
            </w:pPr>
            <w:r w:rsidRPr="00520848">
              <w:rPr>
                <w:rFonts w:ascii="Times New Roman" w:eastAsia="Times New Roman" w:hAnsi="Times New Roman" w:cs="Times New Roman"/>
                <w:b/>
                <w:bCs/>
                <w:lang w:val="sq-AL" w:eastAsia="en-GB"/>
              </w:rPr>
              <w:t>Totali</w:t>
            </w:r>
          </w:p>
        </w:tc>
        <w:tc>
          <w:tcPr>
            <w:tcW w:w="1682" w:type="dxa"/>
            <w:vAlign w:val="bottom"/>
          </w:tcPr>
          <w:p w14:paraId="0E2C9750" w14:textId="095E558D" w:rsidR="000724F3" w:rsidRPr="003B6D90" w:rsidRDefault="001D0A90"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323,327</w:t>
            </w:r>
          </w:p>
        </w:tc>
        <w:tc>
          <w:tcPr>
            <w:tcW w:w="30" w:type="dxa"/>
            <w:vAlign w:val="bottom"/>
          </w:tcPr>
          <w:p w14:paraId="5FB59C5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2077" w:type="dxa"/>
            <w:gridSpan w:val="2"/>
            <w:vAlign w:val="bottom"/>
          </w:tcPr>
          <w:p w14:paraId="553AE1D6" w14:textId="56579707" w:rsidR="000724F3" w:rsidRPr="00520848"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b/>
                <w:bCs/>
                <w:lang w:val="sq-AL" w:eastAsia="en-GB"/>
              </w:rPr>
            </w:pPr>
            <w:r>
              <w:rPr>
                <w:rFonts w:ascii="Times New Roman" w:eastAsia="Times New Roman" w:hAnsi="Times New Roman" w:cs="Times New Roman"/>
                <w:b/>
                <w:bCs/>
                <w:lang w:val="sq-AL" w:eastAsia="en-GB"/>
              </w:rPr>
              <w:t>264,170</w:t>
            </w:r>
          </w:p>
        </w:tc>
      </w:tr>
    </w:tbl>
    <w:p w14:paraId="6740F2B7"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1AC3304"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062E06CF"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2EC7EB52"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69B8480" w14:textId="77777777" w:rsidR="000724F3" w:rsidRDefault="000724F3" w:rsidP="000724F3">
      <w:pPr>
        <w:spacing w:after="0" w:line="240" w:lineRule="auto"/>
        <w:jc w:val="both"/>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 xml:space="preserve">   </w:t>
      </w:r>
      <w:r w:rsidRPr="002E6974">
        <w:rPr>
          <w:rFonts w:ascii="Times New Roman" w:eastAsia="Times New Roman" w:hAnsi="Times New Roman" w:cs="Times New Roman"/>
          <w:b/>
          <w:lang w:val="sq-AL" w:eastAsia="en-GB"/>
        </w:rPr>
        <w:t xml:space="preserve"> </w:t>
      </w:r>
      <w:r>
        <w:rPr>
          <w:rFonts w:ascii="Times New Roman" w:eastAsia="Times New Roman" w:hAnsi="Times New Roman" w:cs="Times New Roman"/>
          <w:b/>
          <w:lang w:val="sq-AL" w:eastAsia="en-GB"/>
        </w:rPr>
        <w:t>9</w:t>
      </w:r>
      <w:r w:rsidRPr="002E6974">
        <w:rPr>
          <w:rFonts w:ascii="Times New Roman" w:eastAsia="Times New Roman" w:hAnsi="Times New Roman" w:cs="Times New Roman"/>
          <w:b/>
          <w:lang w:val="sq-AL" w:eastAsia="en-GB"/>
        </w:rPr>
        <w:t xml:space="preserve"> . MENAXHIMI I RISKUT </w:t>
      </w:r>
    </w:p>
    <w:p w14:paraId="573708ED" w14:textId="77777777" w:rsidR="000724F3" w:rsidRDefault="000724F3" w:rsidP="000724F3">
      <w:pPr>
        <w:spacing w:after="0" w:line="240" w:lineRule="auto"/>
        <w:jc w:val="both"/>
        <w:rPr>
          <w:rFonts w:ascii="Times New Roman" w:eastAsia="Times New Roman" w:hAnsi="Times New Roman" w:cs="Times New Roman"/>
          <w:bCs/>
          <w:i/>
          <w:iCs/>
          <w:lang w:val="sq-AL" w:eastAsia="en-GB"/>
        </w:rPr>
      </w:pPr>
    </w:p>
    <w:p w14:paraId="755E518C"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Kredit risku </w:t>
      </w:r>
    </w:p>
    <w:p w14:paraId="3E6B65D0"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Kre</w:t>
      </w:r>
      <w:r>
        <w:rPr>
          <w:rFonts w:ascii="Times New Roman" w:eastAsia="Times New Roman" w:hAnsi="Times New Roman" w:cs="Times New Roman"/>
          <w:sz w:val="24"/>
          <w:szCs w:val="24"/>
          <w:lang w:val="sq-AL" w:eastAsia="en-GB"/>
        </w:rPr>
        <w:t>d</w:t>
      </w:r>
      <w:r w:rsidRPr="00C5034E">
        <w:rPr>
          <w:rFonts w:ascii="Times New Roman" w:eastAsia="Times New Roman" w:hAnsi="Times New Roman" w:cs="Times New Roman"/>
          <w:sz w:val="24"/>
          <w:szCs w:val="24"/>
          <w:lang w:val="sq-AL" w:eastAsia="en-GB"/>
        </w:rPr>
        <w:t>it risku është risku që njëra palë me dështimin në përmbushjen e obligimeve financiare do të ndikojë në palën tjetër të ketë humbje fianciare. Qendra Kosovare për Studime të Sigurisë</w:t>
      </w:r>
      <w:r>
        <w:rPr>
          <w:rFonts w:ascii="Times New Roman" w:eastAsia="Times New Roman" w:hAnsi="Times New Roman" w:cs="Times New Roman"/>
          <w:sz w:val="24"/>
          <w:szCs w:val="24"/>
          <w:lang w:val="sq-AL" w:eastAsia="en-GB"/>
        </w:rPr>
        <w:t>- QKSS</w:t>
      </w:r>
      <w:r w:rsidRPr="00C5034E">
        <w:rPr>
          <w:rFonts w:ascii="Times New Roman" w:eastAsia="Times New Roman" w:hAnsi="Times New Roman" w:cs="Times New Roman"/>
          <w:sz w:val="24"/>
          <w:szCs w:val="24"/>
          <w:lang w:val="sq-AL" w:eastAsia="en-GB"/>
        </w:rPr>
        <w:t xml:space="preserve"> nuk i është ekspozuar kredit riskut në aspektin e granteve .</w:t>
      </w:r>
    </w:p>
    <w:p w14:paraId="392DC371"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p>
    <w:p w14:paraId="2BAF8897"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Risku nga kamatat </w:t>
      </w:r>
    </w:p>
    <w:p w14:paraId="0817C7B9"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Qendra Kosovare për Studime të Sigurisë – QKSS nuk i është ekspozuar riskut nga kamatat bankare .</w:t>
      </w:r>
    </w:p>
    <w:p w14:paraId="1355C6E5"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p>
    <w:p w14:paraId="5CBC0BFE"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Risku nga këmbimet ndërkombëtare </w:t>
      </w:r>
    </w:p>
    <w:p w14:paraId="3524F015"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Qendra Kosovare për Studime të Sigurisë – QKSS është ekspozuar nga këmbimet ndërkombëtare pasi që transaksionet ndodhin në valutë vendore dhe të huaj.</w:t>
      </w:r>
    </w:p>
    <w:p w14:paraId="651B232E"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p>
    <w:p w14:paraId="5D217579"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Risku i likuiditetit </w:t>
      </w:r>
    </w:p>
    <w:p w14:paraId="67A49406"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Risku i likuiditetit paraqet riskun kur pjekuria e pasurisë dhe e detyrimeve nuk përputhen .</w:t>
      </w:r>
      <w:r>
        <w:rPr>
          <w:rFonts w:ascii="Times New Roman" w:eastAsia="Times New Roman" w:hAnsi="Times New Roman" w:cs="Times New Roman"/>
          <w:sz w:val="24"/>
          <w:szCs w:val="24"/>
          <w:lang w:val="sq-AL" w:eastAsia="en-GB"/>
        </w:rPr>
        <w:t xml:space="preserve"> </w:t>
      </w:r>
      <w:r w:rsidRPr="00C5034E">
        <w:rPr>
          <w:rFonts w:ascii="Times New Roman" w:eastAsia="Times New Roman" w:hAnsi="Times New Roman" w:cs="Times New Roman"/>
          <w:sz w:val="24"/>
          <w:szCs w:val="24"/>
          <w:lang w:val="sq-AL" w:eastAsia="en-GB"/>
        </w:rPr>
        <w:t>Qendra Kosovare për Studime të Sigurisë – QKSS m</w:t>
      </w:r>
      <w:r>
        <w:rPr>
          <w:rFonts w:ascii="Times New Roman" w:eastAsia="Times New Roman" w:hAnsi="Times New Roman" w:cs="Times New Roman"/>
          <w:sz w:val="24"/>
          <w:szCs w:val="24"/>
          <w:lang w:val="sq-AL" w:eastAsia="en-GB"/>
        </w:rPr>
        <w:t>o</w:t>
      </w:r>
      <w:r w:rsidRPr="00C5034E">
        <w:rPr>
          <w:rFonts w:ascii="Times New Roman" w:eastAsia="Times New Roman" w:hAnsi="Times New Roman" w:cs="Times New Roman"/>
          <w:sz w:val="24"/>
          <w:szCs w:val="24"/>
          <w:lang w:val="sq-AL" w:eastAsia="en-GB"/>
        </w:rPr>
        <w:t>nitoron likuiditetin e sajë në baza periodike</w:t>
      </w:r>
      <w:r>
        <w:rPr>
          <w:rFonts w:ascii="Times New Roman" w:eastAsia="Times New Roman" w:hAnsi="Times New Roman" w:cs="Times New Roman"/>
          <w:sz w:val="24"/>
          <w:szCs w:val="24"/>
          <w:lang w:val="sq-AL" w:eastAsia="en-GB"/>
        </w:rPr>
        <w:t>,</w:t>
      </w:r>
      <w:r w:rsidRPr="00C5034E">
        <w:rPr>
          <w:rFonts w:ascii="Times New Roman" w:eastAsia="Times New Roman" w:hAnsi="Times New Roman" w:cs="Times New Roman"/>
          <w:sz w:val="24"/>
          <w:szCs w:val="24"/>
          <w:lang w:val="sq-AL" w:eastAsia="en-GB"/>
        </w:rPr>
        <w:t xml:space="preserve"> në mënyrë që të menaxhoj obligimet e sajë në momentin kur duhet  të paguhen .</w:t>
      </w:r>
    </w:p>
    <w:p w14:paraId="2FCF87B1"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7955F27"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8702A71"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r>
        <w:rPr>
          <w:rFonts w:ascii="Times New Roman" w:eastAsia="Times New Roman" w:hAnsi="Times New Roman" w:cs="Times New Roman"/>
          <w:b/>
          <w:szCs w:val="20"/>
          <w:lang w:val="sq-AL" w:eastAsia="en-GB"/>
        </w:rPr>
        <w:t>10.</w:t>
      </w:r>
      <w:r w:rsidRPr="003B6D90">
        <w:rPr>
          <w:rFonts w:ascii="Times New Roman" w:eastAsia="Times New Roman" w:hAnsi="Times New Roman" w:cs="Times New Roman"/>
          <w:b/>
          <w:szCs w:val="20"/>
          <w:lang w:val="sq-AL" w:eastAsia="en-GB"/>
        </w:rPr>
        <w:t xml:space="preserve"> </w:t>
      </w:r>
      <w:r>
        <w:rPr>
          <w:rFonts w:ascii="Times New Roman" w:eastAsia="Times New Roman" w:hAnsi="Times New Roman" w:cs="Times New Roman"/>
          <w:b/>
          <w:szCs w:val="20"/>
          <w:lang w:val="sq-AL" w:eastAsia="en-GB"/>
        </w:rPr>
        <w:t xml:space="preserve">APROVIMI I PASQYRAVE FINANCIARE </w:t>
      </w:r>
    </w:p>
    <w:p w14:paraId="121911A3" w14:textId="77777777" w:rsidR="000724F3" w:rsidRPr="003B6D90" w:rsidRDefault="000724F3" w:rsidP="000724F3">
      <w:pPr>
        <w:spacing w:after="0"/>
        <w:rPr>
          <w:rFonts w:ascii="Times New Roman" w:eastAsia="Times New Roman" w:hAnsi="Times New Roman" w:cs="Times New Roman"/>
          <w:b/>
          <w:szCs w:val="20"/>
          <w:lang w:val="sq-AL" w:eastAsia="en-GB"/>
        </w:rPr>
      </w:pPr>
    </w:p>
    <w:p w14:paraId="66C652DC" w14:textId="0EFE5A44" w:rsidR="000724F3" w:rsidRDefault="000724F3" w:rsidP="000724F3">
      <w:r w:rsidRPr="003B6D90">
        <w:rPr>
          <w:rFonts w:ascii="Times New Roman" w:eastAsia="Times New Roman" w:hAnsi="Times New Roman" w:cs="Times New Roman"/>
          <w:lang w:val="sq-AL" w:eastAsia="en-GB"/>
        </w:rPr>
        <w:t xml:space="preserve">Pasqyrat financiare janë aprovuar nga menaxhmenti dhe janë autorizuar për publikim më </w:t>
      </w:r>
      <w:r w:rsidR="004C3552">
        <w:rPr>
          <w:rFonts w:ascii="Times New Roman" w:eastAsia="Times New Roman" w:hAnsi="Times New Roman" w:cs="Times New Roman"/>
          <w:lang w:val="sq-AL" w:eastAsia="en-GB"/>
        </w:rPr>
        <w:t>1</w:t>
      </w:r>
      <w:r w:rsidR="00927E65">
        <w:rPr>
          <w:rFonts w:ascii="Times New Roman" w:eastAsia="Times New Roman" w:hAnsi="Times New Roman" w:cs="Times New Roman"/>
          <w:lang w:val="sq-AL" w:eastAsia="en-GB"/>
        </w:rPr>
        <w:t>1</w:t>
      </w:r>
      <w:r>
        <w:rPr>
          <w:rFonts w:ascii="Times New Roman" w:eastAsia="Times New Roman" w:hAnsi="Times New Roman" w:cs="Times New Roman"/>
          <w:lang w:val="sq-AL" w:eastAsia="en-GB"/>
        </w:rPr>
        <w:t>.0</w:t>
      </w:r>
      <w:r w:rsidR="004C3552">
        <w:rPr>
          <w:rFonts w:ascii="Times New Roman" w:eastAsia="Times New Roman" w:hAnsi="Times New Roman" w:cs="Times New Roman"/>
          <w:lang w:val="sq-AL" w:eastAsia="en-GB"/>
        </w:rPr>
        <w:t>3</w:t>
      </w:r>
      <w:r>
        <w:rPr>
          <w:rFonts w:ascii="Times New Roman" w:eastAsia="Times New Roman" w:hAnsi="Times New Roman" w:cs="Times New Roman"/>
          <w:lang w:val="sq-AL" w:eastAsia="en-GB"/>
        </w:rPr>
        <w:t>.20</w:t>
      </w:r>
      <w:r w:rsidR="004C3552">
        <w:rPr>
          <w:rFonts w:ascii="Times New Roman" w:eastAsia="Times New Roman" w:hAnsi="Times New Roman" w:cs="Times New Roman"/>
          <w:lang w:val="sq-AL" w:eastAsia="en-GB"/>
        </w:rPr>
        <w:t>22</w:t>
      </w:r>
      <w:r>
        <w:rPr>
          <w:rFonts w:ascii="Times New Roman" w:eastAsia="Times New Roman" w:hAnsi="Times New Roman" w:cs="Times New Roman"/>
          <w:lang w:val="sq-AL" w:eastAsia="en-GB"/>
        </w:rPr>
        <w:t>.</w:t>
      </w:r>
    </w:p>
    <w:p w14:paraId="6165A80C" w14:textId="77777777" w:rsidR="000724F3" w:rsidRPr="00B1634B" w:rsidRDefault="000724F3" w:rsidP="000724F3">
      <w:pPr>
        <w:spacing w:after="0" w:line="240" w:lineRule="auto"/>
        <w:jc w:val="both"/>
        <w:rPr>
          <w:rFonts w:ascii="Times New Roman" w:eastAsia="Times New Roman" w:hAnsi="Times New Roman" w:cs="Times New Roman"/>
          <w:bCs/>
          <w:lang w:val="sq-AL" w:eastAsia="en-GB"/>
        </w:rPr>
      </w:pPr>
    </w:p>
    <w:p w14:paraId="6AE3CCFD" w14:textId="77777777" w:rsidR="00F4056C" w:rsidRDefault="00F4056C"/>
    <w:sectPr w:rsidR="00F40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7FA"/>
    <w:multiLevelType w:val="multilevel"/>
    <w:tmpl w:val="F168C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71846FF"/>
    <w:multiLevelType w:val="hybridMultilevel"/>
    <w:tmpl w:val="E7AA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B7"/>
    <w:rsid w:val="000724F3"/>
    <w:rsid w:val="001D0A90"/>
    <w:rsid w:val="003B55B7"/>
    <w:rsid w:val="004C3552"/>
    <w:rsid w:val="00927E65"/>
    <w:rsid w:val="00B50658"/>
    <w:rsid w:val="00F4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C68D"/>
  <w15:chartTrackingRefBased/>
  <w15:docId w15:val="{AEA1D57F-B7F9-422B-9B8E-4C51A264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F3"/>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ProKont</dc:creator>
  <cp:keywords/>
  <dc:description/>
  <cp:lastModifiedBy>ProKont</cp:lastModifiedBy>
  <cp:revision>6</cp:revision>
  <dcterms:created xsi:type="dcterms:W3CDTF">2021-04-27T09:07:00Z</dcterms:created>
  <dcterms:modified xsi:type="dcterms:W3CDTF">2022-03-11T08:45:00Z</dcterms:modified>
</cp:coreProperties>
</file>